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69" w:rsidRPr="00E83244" w:rsidRDefault="00183411" w:rsidP="007C2DBE">
      <w:pPr>
        <w:pStyle w:val="Tytu"/>
        <w:rPr>
          <w:rFonts w:asciiTheme="minorHAnsi" w:hAnsiTheme="minorHAnsi" w:cstheme="minorHAnsi"/>
          <w:b/>
          <w:bCs/>
          <w:sz w:val="28"/>
          <w:szCs w:val="28"/>
        </w:rPr>
      </w:pPr>
      <w:r w:rsidRPr="004C547C">
        <w:rPr>
          <w:rStyle w:val="Nagwek2Znak"/>
        </w:rPr>
        <w:t xml:space="preserve">Załącznik nr </w:t>
      </w:r>
      <w:r w:rsidR="00215B5D" w:rsidRPr="004C547C">
        <w:rPr>
          <w:rStyle w:val="Nagwek2Znak"/>
        </w:rPr>
        <w:t>10</w:t>
      </w:r>
      <w:r w:rsidRPr="004C547C">
        <w:rPr>
          <w:rStyle w:val="Nagwek2Znak"/>
        </w:rPr>
        <w:t xml:space="preserve"> do SWZ. </w:t>
      </w:r>
      <w:r w:rsidR="007C2DBE" w:rsidRPr="004C547C">
        <w:rPr>
          <w:rStyle w:val="Nagwek2Znak"/>
        </w:rPr>
        <w:br/>
      </w:r>
      <w:r w:rsidR="007C2DBE" w:rsidRPr="007C2DBE">
        <w:rPr>
          <w:rFonts w:asciiTheme="minorHAnsi" w:hAnsiTheme="minorHAnsi" w:cstheme="minorHAnsi"/>
          <w:b/>
          <w:bCs/>
          <w:sz w:val="28"/>
          <w:szCs w:val="28"/>
        </w:rPr>
        <w:t>Wymagania dla próbki przedmiotu zamówienia oraz zasady i zakres jej badania</w:t>
      </w:r>
    </w:p>
    <w:p w:rsidR="007C2DBE" w:rsidRPr="00297161" w:rsidRDefault="007C2DBE" w:rsidP="00C638CB">
      <w:pPr>
        <w:pStyle w:val="Nagwek1"/>
        <w:numPr>
          <w:ilvl w:val="0"/>
          <w:numId w:val="1"/>
        </w:numPr>
        <w:ind w:left="0" w:firstLine="0"/>
      </w:pPr>
      <w:r w:rsidRPr="00297161">
        <w:t>Wymagania ogólne</w:t>
      </w:r>
    </w:p>
    <w:p w:rsidR="007C2DBE" w:rsidRDefault="007C2DBE" w:rsidP="00C638CB">
      <w:pPr>
        <w:pStyle w:val="Akapitzlist"/>
        <w:numPr>
          <w:ilvl w:val="0"/>
          <w:numId w:val="2"/>
        </w:numPr>
        <w:spacing w:before="0" w:after="160"/>
        <w:ind w:left="357" w:hanging="357"/>
        <w:jc w:val="both"/>
      </w:pPr>
      <w:r>
        <w:t>Celem złożenia próbki jest potwierdzenie, że oferowane dostawy (Oprogramowanie) odpowiadają wymaganiom określonym przez Zamawiającego w Szczegółowym Opisie Przedmiotu Zamówienia (dalej SOPZ lub OPZ) stanowiącym Załącznik nr 1 do SWZ poprzez jej badanie i wyjaśnianie, zwane dalej badaniem próbki.</w:t>
      </w:r>
    </w:p>
    <w:p w:rsidR="007C2DBE" w:rsidRPr="009D1EE0" w:rsidRDefault="007C2DBE" w:rsidP="00894FED">
      <w:pPr>
        <w:pStyle w:val="Akapitzlist"/>
        <w:numPr>
          <w:ilvl w:val="0"/>
          <w:numId w:val="2"/>
        </w:numPr>
        <w:spacing w:before="0" w:after="160"/>
        <w:ind w:left="357" w:hanging="357"/>
        <w:jc w:val="both"/>
      </w:pPr>
      <w:r w:rsidRPr="009D1EE0">
        <w:t>Mając na uwadze wymieniony powyżej cel badania próbki, próbka ma zawierać oprogramowanie zaoferowane przez Wykonawcę w ramach zamówienia w zakresie system</w:t>
      </w:r>
      <w:r w:rsidR="00894FED" w:rsidRPr="009D1EE0">
        <w:t xml:space="preserve">u </w:t>
      </w:r>
      <w:r w:rsidRPr="009D1EE0">
        <w:t>Portal Mieszkańca</w:t>
      </w:r>
      <w:r w:rsidR="00894FED" w:rsidRPr="009D1EE0">
        <w:t>.</w:t>
      </w:r>
    </w:p>
    <w:p w:rsidR="00800D01" w:rsidRPr="009D1EE0" w:rsidRDefault="00800D01" w:rsidP="00894FED">
      <w:pPr>
        <w:pStyle w:val="Akapitzlist"/>
        <w:numPr>
          <w:ilvl w:val="0"/>
          <w:numId w:val="2"/>
        </w:numPr>
        <w:spacing w:before="0" w:after="160"/>
        <w:ind w:left="357" w:hanging="357"/>
        <w:jc w:val="both"/>
      </w:pPr>
      <w:bookmarkStart w:id="0" w:name="_Hlk69806875"/>
      <w:r w:rsidRPr="009D1EE0">
        <w:t>W przypadku, jeżeli</w:t>
      </w:r>
      <w:r w:rsidR="00894FED" w:rsidRPr="009D1EE0">
        <w:t xml:space="preserve"> </w:t>
      </w:r>
      <w:r w:rsidRPr="009D1EE0">
        <w:t>Wykonawca skorzystał z możliwości dostawy Zintegrowanego Systemu Dziedzinowego (ZSD) na zasadzie równoważności w stosunku do modernizacji systemu dziedzinowego funkcjonującego w urzędzie Zamawiającego, próbka musi zawierać także Zintegrowany System Dziedzinow</w:t>
      </w:r>
      <w:r w:rsidR="00894FED" w:rsidRPr="009D1EE0">
        <w:t>y</w:t>
      </w:r>
      <w:r w:rsidRPr="009D1EE0">
        <w:t>.</w:t>
      </w:r>
      <w:bookmarkEnd w:id="0"/>
      <w:r w:rsidRPr="009D1EE0">
        <w:t xml:space="preserve"> </w:t>
      </w:r>
    </w:p>
    <w:p w:rsidR="00800D01" w:rsidRPr="009D1EE0" w:rsidRDefault="00800D01" w:rsidP="00894FED">
      <w:pPr>
        <w:pStyle w:val="Akapitzlist"/>
        <w:numPr>
          <w:ilvl w:val="0"/>
          <w:numId w:val="2"/>
        </w:numPr>
        <w:spacing w:before="0" w:after="160"/>
        <w:ind w:left="357" w:hanging="357"/>
        <w:jc w:val="both"/>
      </w:pPr>
      <w:r w:rsidRPr="009D1EE0">
        <w:t>Zamawiający wymaga, aby Wykonawca złożył z ofertą dwa dyski: dysk 1 - dysk podstawowy – próbka; dysk 2 – dysk zapasowy - próbka (kopia) na których przekaże próbkę Oprogramowania, o którym mowa w ust. 2 w postaci wirtualnej maszyny z zainstalowanym systemem operacyjnym, bazodanowym i oferowanym przez Wykonawcę pakietem oprogramowania zasilonym przykładowymi danymi, które umożliwiają przeprowadzenie procedury badania próbki w zakresie i na zasadach opisanych w niniejszym Załączniku do SWZ, w tym według</w:t>
      </w:r>
      <w:r w:rsidRPr="009D1EE0" w:rsidDel="00E15DB1">
        <w:t xml:space="preserve"> </w:t>
      </w:r>
      <w:r w:rsidRPr="009D1EE0">
        <w:t>scenariusza badania próbki.</w:t>
      </w:r>
    </w:p>
    <w:p w:rsidR="00800D01" w:rsidRPr="009D1EE0" w:rsidRDefault="00800D01" w:rsidP="00894FED">
      <w:pPr>
        <w:pStyle w:val="Akapitzlist"/>
        <w:numPr>
          <w:ilvl w:val="0"/>
          <w:numId w:val="2"/>
        </w:numPr>
        <w:spacing w:before="0" w:after="160"/>
        <w:ind w:left="357" w:hanging="357"/>
        <w:jc w:val="both"/>
      </w:pPr>
      <w:r w:rsidRPr="009D1EE0">
        <w:t>Przykładowe dane nie mogą naruszać zapisów Ustawy o ochronie danych osobowych. W przypadku jej naruszenia Wykonawca ponosi całkowitą odpowiedzialność.</w:t>
      </w:r>
    </w:p>
    <w:p w:rsidR="00800D01" w:rsidRPr="009D1EE0" w:rsidRDefault="00800D01" w:rsidP="00894FED">
      <w:pPr>
        <w:pStyle w:val="Akapitzlist"/>
        <w:numPr>
          <w:ilvl w:val="0"/>
          <w:numId w:val="2"/>
        </w:numPr>
        <w:spacing w:before="0" w:after="160"/>
        <w:ind w:left="357" w:hanging="357"/>
        <w:jc w:val="both"/>
      </w:pPr>
      <w:r w:rsidRPr="009D1EE0">
        <w:t xml:space="preserve">Próbka musi zawierać instrukcję umożliwiającą wstępne badanie jej zawartości. Instrukcja musi umożliwić Zamawiającemu sprawdzenie kompletności oprogramowania. W tym celu instrukcja ta musi zawierać wskazówki dotyczące uruchomienia maszyny wirtualnej, loginy i hasła niezbędne do uruchomienia maszyn i zawartego na niej oprogramowania oraz wskazówki dotyczące lokalizacji i sposobu uruchomienia poszczególnych elementów oprogramowania. Instrukcja powinna zawierać ponadto informację o wykorzystywanych na jej potrzeby instancjach bazy danych wraz z podaniem dla każdej bazy: nazwy zastosowanego rozwiązania serwera baz danych SQL i </w:t>
      </w:r>
      <w:r w:rsidR="00894FED" w:rsidRPr="009D1EE0">
        <w:t xml:space="preserve">informacji, </w:t>
      </w:r>
      <w:r w:rsidRPr="009D1EE0">
        <w:t>przez które moduły testowanego oprogramowania dana baza jest wykorzystywana.</w:t>
      </w:r>
    </w:p>
    <w:p w:rsidR="00800D01" w:rsidRPr="009D1EE0" w:rsidRDefault="00800D01" w:rsidP="00894FED">
      <w:pPr>
        <w:pStyle w:val="Akapitzlist"/>
        <w:numPr>
          <w:ilvl w:val="0"/>
          <w:numId w:val="2"/>
        </w:numPr>
        <w:spacing w:before="0" w:after="160"/>
        <w:ind w:left="357" w:hanging="357"/>
        <w:jc w:val="both"/>
      </w:pPr>
      <w:r w:rsidRPr="009D1EE0">
        <w:t>Próbka musi zawierać na jednym dysku (dysk podstawowy) wszystkie systemy wskazane w ust. 2 i ust.</w:t>
      </w:r>
      <w:r w:rsidR="00134FFA" w:rsidRPr="009D1EE0">
        <w:t xml:space="preserve"> </w:t>
      </w:r>
      <w:r w:rsidRPr="009D1EE0">
        <w:t xml:space="preserve">3 (jeśli dotyczy) oraz instrukcję, o której mowa w ust. </w:t>
      </w:r>
      <w:r w:rsidR="00894FED" w:rsidRPr="009D1EE0">
        <w:t>powyżej</w:t>
      </w:r>
      <w:r w:rsidRPr="009D1EE0">
        <w:t>. Zamawiający dopuszcza zainstalowanie na dostarczonym dysku zewnętrznym więcej niż jednej maszyny wirtualnej. Drugi dysk zewnętrzny (dysk zapasowy) powinien posiadać identyczną zawartość jak dysk podstawowy, ponieważ stanowi on jego kopię.</w:t>
      </w:r>
    </w:p>
    <w:p w:rsidR="00800D01" w:rsidRPr="009D1EE0" w:rsidRDefault="00800D01" w:rsidP="00894FED">
      <w:pPr>
        <w:pStyle w:val="Akapitzlist"/>
        <w:numPr>
          <w:ilvl w:val="0"/>
          <w:numId w:val="2"/>
        </w:numPr>
        <w:spacing w:before="0" w:after="160"/>
        <w:ind w:left="357" w:hanging="357"/>
        <w:jc w:val="both"/>
      </w:pPr>
      <w:r w:rsidRPr="009D1EE0">
        <w:t xml:space="preserve">Jeżeli wstępne badanie zawartości przeprowadzone na podstawie instrukcji wykaże, że próbka nie zawiera wszystkich systemów wskazanych w ust. 2 </w:t>
      </w:r>
      <w:r w:rsidR="00B65E13" w:rsidRPr="009D1EE0">
        <w:t xml:space="preserve">i ust. 3 (jeżeli dotyczy) </w:t>
      </w:r>
      <w:r w:rsidRPr="009D1EE0">
        <w:t xml:space="preserve">lub też jeżeli próbka nie zawiera instrukcji Zamawiający uzna, że próbka jest niekompletna i na podstawie art. 107 ust. 2 Ustawy PZP wezwie Wykonawcę do złożenia próbki potwierdzającej wymagania Zamawiającego w terminie nie krótszym niż 5 dni. </w:t>
      </w:r>
    </w:p>
    <w:p w:rsidR="00800D01" w:rsidRPr="00FE7438" w:rsidRDefault="00800D01" w:rsidP="00894FED">
      <w:pPr>
        <w:pStyle w:val="Akapitzlist"/>
        <w:numPr>
          <w:ilvl w:val="0"/>
          <w:numId w:val="2"/>
        </w:numPr>
        <w:spacing w:before="0" w:after="160"/>
        <w:ind w:left="357" w:hanging="357"/>
        <w:jc w:val="both"/>
      </w:pPr>
      <w:r w:rsidRPr="00FE7438">
        <w:t>W celu przeprowadzenia badania próbki, Zamawiający wezwie Wykonawcę do dokonania prezentacji zawartości próbki złożonej na wezwanie Zamawiającego. Prezentacja</w:t>
      </w:r>
      <w:r>
        <w:t xml:space="preserve"> </w:t>
      </w:r>
      <w:r w:rsidRPr="00FE7438">
        <w:t xml:space="preserve">zostanie </w:t>
      </w:r>
      <w:r w:rsidRPr="00FE7438">
        <w:lastRenderedPageBreak/>
        <w:t>przeprowadzona przez Wykonawcę w siedzibie Zamawiającego, zgodnie z procedurą określoną w Rozdziale 2 – Opis procedury badania.</w:t>
      </w:r>
    </w:p>
    <w:p w:rsidR="00800D01" w:rsidRPr="00FE7438" w:rsidRDefault="00800D01" w:rsidP="00894FED">
      <w:pPr>
        <w:pStyle w:val="Akapitzlist"/>
        <w:numPr>
          <w:ilvl w:val="0"/>
          <w:numId w:val="2"/>
        </w:numPr>
        <w:spacing w:before="0" w:after="160"/>
        <w:ind w:left="357" w:hanging="357"/>
        <w:jc w:val="both"/>
      </w:pPr>
      <w:r w:rsidRPr="00FE7438">
        <w:t xml:space="preserve">Oceny czy oferowane dostawy (Oprogramowanie) odpowiadają wymaganiom określonym przez Zamawiającego dokona </w:t>
      </w:r>
      <w:r>
        <w:t>k</w:t>
      </w:r>
      <w:r w:rsidRPr="00FE7438">
        <w:t xml:space="preserve">omisja </w:t>
      </w:r>
      <w:r>
        <w:t>p</w:t>
      </w:r>
      <w:r w:rsidRPr="00FE7438">
        <w:t>rzetargowa na podstawie prezentacji zawartości złożonej próbki przeprowadzonej przez Wykonawcę.</w:t>
      </w:r>
    </w:p>
    <w:p w:rsidR="00800D01" w:rsidRPr="00FE7438" w:rsidRDefault="00800D01" w:rsidP="00894FED">
      <w:pPr>
        <w:pStyle w:val="Akapitzlist"/>
        <w:numPr>
          <w:ilvl w:val="0"/>
          <w:numId w:val="2"/>
        </w:numPr>
        <w:spacing w:before="0" w:after="160"/>
        <w:ind w:left="357" w:hanging="357"/>
        <w:jc w:val="both"/>
      </w:pPr>
      <w:r w:rsidRPr="00FE7438">
        <w:t xml:space="preserve">Termin (dzień i godzina) przeprowadzenia badania próbki podany zostanie Wykonawcy co najmniej na </w:t>
      </w:r>
      <w:r w:rsidR="00B65E13">
        <w:t>5</w:t>
      </w:r>
      <w:r w:rsidRPr="00FE7438">
        <w:t xml:space="preserve"> dni przed planowanym terminem badania próbki. Wykonawca zostanie powiadomiony o terminie prezentacji, z uwzględnieniem zasad porozumiewania się Zamawiającego z Wykonawcą opisanych w SWZ.</w:t>
      </w:r>
    </w:p>
    <w:p w:rsidR="00800D01" w:rsidRPr="00894FED" w:rsidRDefault="00800D01" w:rsidP="00894FED">
      <w:pPr>
        <w:pStyle w:val="Akapitzlist"/>
        <w:numPr>
          <w:ilvl w:val="0"/>
          <w:numId w:val="2"/>
        </w:numPr>
        <w:spacing w:before="0" w:after="160"/>
        <w:ind w:left="357" w:hanging="357"/>
        <w:jc w:val="both"/>
      </w:pPr>
      <w:r w:rsidRPr="00894FED">
        <w:t>Dostarczenie sprawnych dysków przenośnych jest obowiązkiem Wykonawcy, a ich parametry muszą pozwalać na sprawne funkcjonowanie wirtualnej maszyny z zainstalowanym systemem operacyjnym, oferowanym oprogramowaniem systemu i przykładowymi danymi.</w:t>
      </w:r>
    </w:p>
    <w:p w:rsidR="00800D01" w:rsidRPr="00894FED" w:rsidRDefault="00800D01" w:rsidP="00894FED">
      <w:pPr>
        <w:pStyle w:val="Akapitzlist"/>
        <w:numPr>
          <w:ilvl w:val="0"/>
          <w:numId w:val="2"/>
        </w:numPr>
        <w:spacing w:before="0" w:after="160"/>
        <w:ind w:left="357" w:hanging="357"/>
        <w:jc w:val="both"/>
      </w:pPr>
      <w:r w:rsidRPr="00894FED">
        <w:t>Zamawiający zaleca, aby dyski przenośne były złożone w kopercie z oznakowaniem: Dysk 1 – dysk podstawowy – próbka; Dysk 2 – dysk zapasowy - próbka (kopia). Koperta powinna być opatrzona także nazwą i adresem Wykonawcy.</w:t>
      </w:r>
    </w:p>
    <w:p w:rsidR="00800D01" w:rsidRPr="00A37538" w:rsidRDefault="00800D01" w:rsidP="00894FED">
      <w:pPr>
        <w:pStyle w:val="Akapitzlist"/>
        <w:numPr>
          <w:ilvl w:val="0"/>
          <w:numId w:val="2"/>
        </w:numPr>
        <w:spacing w:before="0" w:after="160"/>
        <w:ind w:left="357" w:hanging="357"/>
        <w:jc w:val="both"/>
      </w:pPr>
      <w:r w:rsidRPr="00A37538">
        <w:t>Zamawiający dopuszcza prezentację próbki oraz udzielanie wyjaśnień do próbki przez Wykonawcę za pomocą środków zdalnej komunikacji. W celu przeprowadzenia badania z wykorzystaniem środków zdalnej komunikacji Wykonawca zgłasza zamiar sposobu przeprowadzenia badania na co najmniej 3 dni robocze przed terminem badania, ze wskazaniem narzędzi i metod, które zamierza wykorzystać do przeprowadzenia prezentacji.</w:t>
      </w:r>
    </w:p>
    <w:p w:rsidR="00800D01" w:rsidRPr="00A37538" w:rsidRDefault="00800D01" w:rsidP="00894FED">
      <w:pPr>
        <w:pStyle w:val="Akapitzlist"/>
        <w:numPr>
          <w:ilvl w:val="0"/>
          <w:numId w:val="2"/>
        </w:numPr>
        <w:spacing w:before="0" w:after="160"/>
        <w:ind w:left="357" w:hanging="357"/>
        <w:jc w:val="both"/>
      </w:pPr>
      <w:r w:rsidRPr="00A37538">
        <w:t xml:space="preserve">Badanie próbki z wykorzystaniem środków zdalnej komunikacji nie może wiązać się z dodatkowymi kosztami </w:t>
      </w:r>
      <w:r w:rsidR="00B65E13">
        <w:t xml:space="preserve">lub nakładami pracy </w:t>
      </w:r>
      <w:r w:rsidRPr="00A37538">
        <w:t xml:space="preserve">dla Zamawiającego, w szczególności nie może on być zobowiązany do nabywania dodatkowych usług, licencji na oprogramowanie itd. </w:t>
      </w:r>
      <w:r w:rsidR="00B65E13">
        <w:t>Za zainstalowanie i skonfigurowanie niezbędnych narzędzi, nawiązanie i utrzymanie zdalnego połączenia odpowiada Wykonawca.</w:t>
      </w:r>
    </w:p>
    <w:p w:rsidR="00800D01" w:rsidRPr="00A37538" w:rsidRDefault="00800D01" w:rsidP="00894FED">
      <w:pPr>
        <w:pStyle w:val="Akapitzlist"/>
        <w:numPr>
          <w:ilvl w:val="0"/>
          <w:numId w:val="2"/>
        </w:numPr>
        <w:spacing w:before="0" w:after="160"/>
        <w:ind w:left="357" w:hanging="357"/>
        <w:jc w:val="both"/>
      </w:pPr>
      <w:r w:rsidRPr="00A37538">
        <w:t>Badanie próbki z wykorzystaniem środków zdalnej komunikacji musi być przeprowadzone zgodnie z pozostałymi postanowieniami niniejszego Załącznika do SWZ, w szczególności musi być prowadzone w oparciu o nośniki złożone przez Wykonawcę w odpowiedzi na wezwanie Zamawiającego.</w:t>
      </w:r>
    </w:p>
    <w:p w:rsidR="00800D01" w:rsidRPr="00297161" w:rsidRDefault="00800D01" w:rsidP="00894FED">
      <w:pPr>
        <w:pStyle w:val="Akapitzlist"/>
        <w:numPr>
          <w:ilvl w:val="0"/>
          <w:numId w:val="2"/>
        </w:numPr>
        <w:spacing w:before="0" w:after="160"/>
        <w:ind w:left="357" w:hanging="357"/>
        <w:jc w:val="both"/>
      </w:pPr>
      <w:r w:rsidRPr="00297161">
        <w:t xml:space="preserve">Jeżeli </w:t>
      </w:r>
      <w:r>
        <w:t xml:space="preserve">podczas badania próbki </w:t>
      </w:r>
      <w:r w:rsidRPr="00297161">
        <w:t xml:space="preserve">którakolwiek funkcjonalność nie zostanie zademonstrowana (nie zostanie zademonstrowany jeden lub więcej element do zrealizowania zgodnie z przedstawionymi scenariuszem lub też sposób jego realizacji będzie stał w sprzeczności z </w:t>
      </w:r>
      <w:r>
        <w:t>S</w:t>
      </w:r>
      <w:r w:rsidRPr="00297161">
        <w:t xml:space="preserve">OPZ lub prezentacja elementu ujawni braki w funkcjonalności określonej w </w:t>
      </w:r>
      <w:r>
        <w:t>S</w:t>
      </w:r>
      <w:r w:rsidRPr="00297161">
        <w:t>OPZ), Zamawiający</w:t>
      </w:r>
      <w:r>
        <w:t xml:space="preserve"> </w:t>
      </w:r>
      <w:r w:rsidRPr="00297161">
        <w:t xml:space="preserve">uzna, że treść oferty </w:t>
      </w:r>
      <w:r w:rsidRPr="009D6DF3">
        <w:t>niezgodna z warunkami zamówienia</w:t>
      </w:r>
      <w:r>
        <w:t xml:space="preserve"> </w:t>
      </w:r>
      <w:r w:rsidRPr="00297161">
        <w:t xml:space="preserve">i odrzuci ofertę Wykonawcy na podstawie </w:t>
      </w:r>
      <w:r w:rsidRPr="004C2E86">
        <w:t>art.</w:t>
      </w:r>
      <w:r>
        <w:t xml:space="preserve"> 226 </w:t>
      </w:r>
      <w:r w:rsidRPr="004C2E86">
        <w:t>ust.</w:t>
      </w:r>
      <w:r>
        <w:t xml:space="preserve"> </w:t>
      </w:r>
      <w:r w:rsidRPr="004C2E86">
        <w:t>1</w:t>
      </w:r>
      <w:r>
        <w:t xml:space="preserve"> </w:t>
      </w:r>
      <w:r w:rsidRPr="009D6DF3">
        <w:t xml:space="preserve">pkt. </w:t>
      </w:r>
      <w:r>
        <w:t>5</w:t>
      </w:r>
      <w:r w:rsidRPr="009D6DF3">
        <w:t xml:space="preserve"> Ustawy </w:t>
      </w:r>
      <w:r>
        <w:t>PZP</w:t>
      </w:r>
      <w:r w:rsidRPr="00297161">
        <w:t>.</w:t>
      </w:r>
    </w:p>
    <w:p w:rsidR="007C2DBE" w:rsidRPr="00297161" w:rsidRDefault="00800D01" w:rsidP="00894FED">
      <w:pPr>
        <w:pStyle w:val="Akapitzlist"/>
        <w:numPr>
          <w:ilvl w:val="0"/>
          <w:numId w:val="2"/>
        </w:numPr>
        <w:spacing w:before="0" w:after="160"/>
        <w:ind w:left="357" w:hanging="357"/>
        <w:jc w:val="both"/>
      </w:pPr>
      <w:r w:rsidRPr="004C2E86">
        <w:t>W</w:t>
      </w:r>
      <w:r>
        <w:t xml:space="preserve"> </w:t>
      </w:r>
      <w:r w:rsidRPr="004C2E86">
        <w:t>przypadku,</w:t>
      </w:r>
      <w:r>
        <w:t xml:space="preserve"> </w:t>
      </w:r>
      <w:r w:rsidRPr="004C2E86">
        <w:t>gdy</w:t>
      </w:r>
      <w:r>
        <w:t xml:space="preserve"> </w:t>
      </w:r>
      <w:r w:rsidRPr="004C2E86">
        <w:t>Wykonawca nie stawi się na prezentację lub</w:t>
      </w:r>
      <w:r>
        <w:t xml:space="preserve"> </w:t>
      </w:r>
      <w:r w:rsidRPr="004C2E86">
        <w:t>odmówi jej przeprowadzenia i</w:t>
      </w:r>
      <w:r>
        <w:t xml:space="preserve"> </w:t>
      </w:r>
      <w:r w:rsidRPr="004C2E86">
        <w:t>w</w:t>
      </w:r>
      <w:r>
        <w:t xml:space="preserve"> </w:t>
      </w:r>
      <w:r w:rsidRPr="004C2E86">
        <w:t>konsekwencji nie</w:t>
      </w:r>
      <w:r>
        <w:t xml:space="preserve"> </w:t>
      </w:r>
      <w:r w:rsidRPr="004C2E86">
        <w:t>przeprowadzi prezentacji, wówczas Zamawiający uzna,</w:t>
      </w:r>
      <w:r>
        <w:t xml:space="preserve"> </w:t>
      </w:r>
      <w:r w:rsidRPr="004C2E86">
        <w:t>że</w:t>
      </w:r>
      <w:r>
        <w:t xml:space="preserve"> Wykonawca nie złożył w przewidzianym terminie przedmiotowego środka dowodowego </w:t>
      </w:r>
      <w:r w:rsidRPr="004C2E86">
        <w:t xml:space="preserve">i </w:t>
      </w:r>
      <w:r>
        <w:t xml:space="preserve">oferta </w:t>
      </w:r>
      <w:r w:rsidRPr="004C2E86">
        <w:t>zostanie</w:t>
      </w:r>
      <w:r>
        <w:t xml:space="preserve"> </w:t>
      </w:r>
      <w:r w:rsidRPr="004C2E86">
        <w:t>odrzucona</w:t>
      </w:r>
      <w:r>
        <w:t xml:space="preserve"> </w:t>
      </w:r>
      <w:r w:rsidRPr="004C2E86">
        <w:t>na</w:t>
      </w:r>
      <w:r>
        <w:t xml:space="preserve"> </w:t>
      </w:r>
      <w:r w:rsidRPr="004C2E86">
        <w:t>podstawie</w:t>
      </w:r>
      <w:r>
        <w:t xml:space="preserve"> </w:t>
      </w:r>
      <w:r w:rsidRPr="004C2E86">
        <w:t>art.</w:t>
      </w:r>
      <w:r>
        <w:t xml:space="preserve"> 226 </w:t>
      </w:r>
      <w:r w:rsidRPr="004C2E86">
        <w:t>ust.</w:t>
      </w:r>
      <w:r>
        <w:t xml:space="preserve"> </w:t>
      </w:r>
      <w:r w:rsidRPr="004C2E86">
        <w:t>1</w:t>
      </w:r>
      <w:r>
        <w:t xml:space="preserve"> </w:t>
      </w:r>
      <w:r w:rsidRPr="004C2E86">
        <w:t>pkt.</w:t>
      </w:r>
      <w:r>
        <w:t xml:space="preserve"> 2c U</w:t>
      </w:r>
      <w:r w:rsidRPr="004C2E86">
        <w:t xml:space="preserve">stawy </w:t>
      </w:r>
      <w:r>
        <w:t>PZP</w:t>
      </w:r>
      <w:r w:rsidRPr="004C2E86">
        <w:t>.</w:t>
      </w:r>
    </w:p>
    <w:p w:rsidR="007C2DBE" w:rsidRPr="00297161" w:rsidRDefault="007C2DBE" w:rsidP="00C638CB">
      <w:pPr>
        <w:pStyle w:val="Nagwek1"/>
        <w:numPr>
          <w:ilvl w:val="0"/>
          <w:numId w:val="1"/>
        </w:numPr>
        <w:ind w:left="0" w:firstLine="0"/>
      </w:pPr>
      <w:r w:rsidRPr="00297161">
        <w:t>Opis procedury badania</w:t>
      </w:r>
    </w:p>
    <w:p w:rsidR="00134FFA" w:rsidRPr="00037976" w:rsidRDefault="00134FFA" w:rsidP="00C638CB">
      <w:pPr>
        <w:pStyle w:val="Akapitzlist"/>
        <w:numPr>
          <w:ilvl w:val="0"/>
          <w:numId w:val="42"/>
        </w:numPr>
        <w:spacing w:before="0" w:after="160"/>
        <w:jc w:val="both"/>
      </w:pPr>
      <w:r w:rsidRPr="00037976">
        <w:t>Badanie próbki odbędzie się w siedzibie Zamawiającego z wykorzystaniem wirtualnej maszyny z zainstalowanym systemem operacyjnym i oprogramowaniem wraz z przykładowymi danymi znajdującymi się na dysku przenośnym, dostarczonym przez Wykonawcę i podłączonym d</w:t>
      </w:r>
      <w:r w:rsidRPr="003F5E47">
        <w:t xml:space="preserve">o </w:t>
      </w:r>
      <w:r w:rsidRPr="003F5E47">
        <w:lastRenderedPageBreak/>
        <w:t xml:space="preserve">komputera. </w:t>
      </w:r>
      <w:r w:rsidRPr="00284194">
        <w:t>Wykonawca zapewni też urządzenia mobilne na których będzie przeprowadzał próbkowanie w zakresie wymaganym w scenariuszu oraz zapewni urządzenia peryferyjne (np. projektor multimedialny, czytnik kodów kreskowych). Dopuszczalne jest testowanie aplikacji/stron mobilnych w środowisku emulującym pracę tych urządzeń na komputerze służącym do próbkowania, pod warunkiem zgodności emulatora z ogólnodostępną na rynku wersją systemu (Android, IOS).</w:t>
      </w:r>
    </w:p>
    <w:p w:rsidR="00134FFA" w:rsidRPr="001C7B4F" w:rsidRDefault="00134FFA" w:rsidP="00C638CB">
      <w:pPr>
        <w:pStyle w:val="Akapitzlist"/>
        <w:numPr>
          <w:ilvl w:val="0"/>
          <w:numId w:val="42"/>
        </w:numPr>
        <w:spacing w:before="0" w:after="160"/>
        <w:jc w:val="both"/>
      </w:pPr>
      <w:r w:rsidRPr="009E0CB8">
        <w:t>Każde badanie</w:t>
      </w:r>
      <w:r w:rsidRPr="001C7B4F">
        <w:t xml:space="preserve"> próbki będzie prowadzone według tego samego scenariusza.</w:t>
      </w:r>
    </w:p>
    <w:p w:rsidR="00134FFA" w:rsidRPr="00284194" w:rsidRDefault="00134FFA" w:rsidP="00C638CB">
      <w:pPr>
        <w:pStyle w:val="Akapitzlist"/>
        <w:numPr>
          <w:ilvl w:val="0"/>
          <w:numId w:val="42"/>
        </w:numPr>
        <w:spacing w:before="0" w:after="160"/>
        <w:jc w:val="both"/>
      </w:pPr>
      <w:r w:rsidRPr="00297161">
        <w:t>Wykonawca, na godzinę przed wyznaczonym terminem badania próbki, otrzyma od Zamawiającego dysk przenośny i zapasowy, które dostarczył Zamawiającemu.</w:t>
      </w:r>
      <w:r w:rsidRPr="008B417E">
        <w:t xml:space="preserve"> </w:t>
      </w:r>
    </w:p>
    <w:p w:rsidR="00134FFA" w:rsidRPr="00297161" w:rsidRDefault="00134FFA" w:rsidP="00C638CB">
      <w:pPr>
        <w:pStyle w:val="Akapitzlist"/>
        <w:numPr>
          <w:ilvl w:val="0"/>
          <w:numId w:val="42"/>
        </w:numPr>
        <w:spacing w:before="0" w:after="160"/>
        <w:jc w:val="both"/>
      </w:pPr>
      <w:r w:rsidRPr="00297161">
        <w:t>Zamawiający zapewni Wykonawcy na czas przeprowadzenia prezentacji próbki dostęp do Internetu lub zezwoli na wykorzystanie punktu dostępowego zapewnionego we własnym zakresie przez Wykonawcę (wybór należy do Wykonawcy).</w:t>
      </w:r>
      <w:r>
        <w:t xml:space="preserve"> Korzystanie z połączenia internetowego jest dozwolone tylko i wyłącznie dla tych kroków scenariusza, gdzie wyraźnie to zaznaczono.</w:t>
      </w:r>
    </w:p>
    <w:p w:rsidR="00134FFA" w:rsidRPr="00297161" w:rsidRDefault="00134FFA" w:rsidP="00C638CB">
      <w:pPr>
        <w:pStyle w:val="Akapitzlist"/>
        <w:numPr>
          <w:ilvl w:val="0"/>
          <w:numId w:val="42"/>
        </w:numPr>
        <w:spacing w:before="0" w:after="160"/>
        <w:jc w:val="both"/>
      </w:pPr>
      <w:r w:rsidRPr="00297161">
        <w:t>Wykonawca zobowiązany jest do wyjaśnienia Zamawiającemu, że badana próbka oprogramowania posiada cechy i funkcjonalności wymagane do zaprezentowania zgodnie ze scenariuszem. Wykonawca zobowiązany jest do udzielenia Zamawiającemu wszelkich wyjaśnień umożliwiających zbadanie, czy oferowane oprogramowanie posiada wymagane cechy i funkcjonalności. Badanie próbki będzie prowadzone do momentu wyczerpania pytań Zamawiającego. W trakcie badania próbki Zamawiający ma prawo żądać od Wykonawcy zmiany wartości parametrów bądź danych wprowadzanych do oprogramowania na wartości podane przez Zamawiającego, w celu sprawdzenia, czy wymagane cechy i funkcjonalności nie są symulowane.</w:t>
      </w:r>
      <w:r>
        <w:t xml:space="preserve"> Zamawiający ma ponadto prawo sprawdzać podczas badania próbki stan połączenia internetowego w celu sprawdzenia, czy prezentacja prowadzona jest w oparciu o złożoną próbkę, a nie zasoby zlokalizowane w sieci Internet.</w:t>
      </w:r>
    </w:p>
    <w:p w:rsidR="00134FFA" w:rsidRPr="00297161" w:rsidRDefault="00134FFA" w:rsidP="00C638CB">
      <w:pPr>
        <w:pStyle w:val="Akapitzlist"/>
        <w:numPr>
          <w:ilvl w:val="0"/>
          <w:numId w:val="42"/>
        </w:numPr>
        <w:spacing w:before="0" w:after="160"/>
        <w:jc w:val="both"/>
      </w:pPr>
      <w:r w:rsidRPr="00297161">
        <w:t xml:space="preserve">W przypadku awarii </w:t>
      </w:r>
      <w:r w:rsidR="000E3642">
        <w:t>dysku – nośnika próbki lub komputera</w:t>
      </w:r>
      <w:r w:rsidRPr="00297161">
        <w:t>, Wykonawca ma prawo do przerwy w badaniu próbki w celu naprawienia awarii</w:t>
      </w:r>
      <w:r w:rsidR="000E3642">
        <w:t xml:space="preserve"> </w:t>
      </w:r>
      <w:r w:rsidRPr="00297161">
        <w:t>lub podłączenia dysku zapasowego. W takim przypadku, sumaryczna przerwa w badaniu próbki nie może trwać dłużej niż 1 godzinę łącznie dla wszystkich awarii, które mogą wystąpić w toku prezentacji. Nieusunięcie awarii lub dysków przenośnych w trakcie przerwy powoduje zakończenie badania próbki. W takim wypadku Zamawiający uzna, że oprogramowanie nie posiada cech/funkcjonalności oprogramowania, określonych w opisie przedmiotu zamówienia, co spowoduje odrzucenie oferty</w:t>
      </w:r>
      <w:r w:rsidR="000E3642">
        <w:t xml:space="preserve"> (patrz rozdział 1 niniejszego załącznika, ust. 17)</w:t>
      </w:r>
      <w:r w:rsidRPr="00297161">
        <w:t xml:space="preserve">. W przypadku awarii komputera, do którego jest podłączony dysk przenośny, Wykonawca ma prawo do przerwy w badaniu próbki w celu naprawy komputera lub podłączenia dysku do innego komputera. Zapewnienie sprawnego komputera należy do obowiązków Wykonawcy. </w:t>
      </w:r>
    </w:p>
    <w:p w:rsidR="00134FFA" w:rsidRPr="00297161" w:rsidRDefault="00134FFA" w:rsidP="00C638CB">
      <w:pPr>
        <w:pStyle w:val="Akapitzlist"/>
        <w:numPr>
          <w:ilvl w:val="0"/>
          <w:numId w:val="42"/>
        </w:numPr>
        <w:spacing w:before="0" w:after="160"/>
        <w:jc w:val="both"/>
      </w:pPr>
      <w:r w:rsidRPr="00297161">
        <w:t xml:space="preserve">W przypadku awarii w funkcjonowaniu metody uwierzytelnienia za pośrednictwem profilu zaufanego nie leżącej po stronie Wykonawcy, Zamawiający wyznaczy dodatkowy termin na przeprowadzenie tych testów, które wymagają jej zastosowania na takich samych zasadach. </w:t>
      </w:r>
    </w:p>
    <w:p w:rsidR="000E3642" w:rsidRDefault="00B229FF" w:rsidP="00C638CB">
      <w:pPr>
        <w:pStyle w:val="Akapitzlist"/>
        <w:numPr>
          <w:ilvl w:val="0"/>
          <w:numId w:val="42"/>
        </w:numPr>
        <w:autoSpaceDE w:val="0"/>
        <w:autoSpaceDN w:val="0"/>
        <w:adjustRightInd w:val="0"/>
        <w:spacing w:before="0" w:after="0" w:line="276" w:lineRule="auto"/>
        <w:jc w:val="both"/>
        <w:rPr>
          <w:rFonts w:cstheme="minorHAnsi"/>
        </w:rPr>
      </w:pPr>
      <w:r>
        <w:rPr>
          <w:rFonts w:cstheme="minorHAnsi"/>
        </w:rPr>
        <w:t xml:space="preserve">Niedopuszczalna jest modyfikacja oprogramowania zawartego na próbce, w szczególności kodów źródłowych. Wszelkie operacje zmierzające do zaprezentowania poszczególnych kroków scenariusza po uruchomieniu danego elementu oprogramowania mogą być wykonywane wyłącznie z poziomu interfejsu oprogramowania pod rygorem uznania, że </w:t>
      </w:r>
      <w:r w:rsidRPr="00297161">
        <w:t xml:space="preserve">oprogramowanie nie </w:t>
      </w:r>
      <w:r w:rsidRPr="00297161">
        <w:lastRenderedPageBreak/>
        <w:t>posiada cech/funkcjonalności oprogramowania, określonych w opisie przedmiotu zamówienia, co spowoduje odrzucenie oferty</w:t>
      </w:r>
      <w:r>
        <w:t xml:space="preserve"> (patrz rozdział 1 niniejszego załącznika, ust. 17)</w:t>
      </w:r>
      <w:r w:rsidRPr="00297161">
        <w:t>.</w:t>
      </w:r>
    </w:p>
    <w:p w:rsidR="00134FFA" w:rsidRDefault="00134FFA" w:rsidP="00C638CB">
      <w:pPr>
        <w:pStyle w:val="Akapitzlist"/>
        <w:numPr>
          <w:ilvl w:val="0"/>
          <w:numId w:val="42"/>
        </w:numPr>
        <w:autoSpaceDE w:val="0"/>
        <w:autoSpaceDN w:val="0"/>
        <w:adjustRightInd w:val="0"/>
        <w:spacing w:before="0" w:after="0" w:line="276" w:lineRule="auto"/>
        <w:jc w:val="both"/>
        <w:rPr>
          <w:rFonts w:cstheme="minorHAnsi"/>
        </w:rPr>
      </w:pPr>
      <w:r>
        <w:rPr>
          <w:rFonts w:cstheme="minorHAnsi"/>
        </w:rPr>
        <w:t>Prezentacja funkcji związanych z drukowaniem może być prezentowana poprzez wydruk do pliku PDF.</w:t>
      </w:r>
    </w:p>
    <w:p w:rsidR="00134FFA" w:rsidRDefault="00134FFA" w:rsidP="00C638CB">
      <w:pPr>
        <w:pStyle w:val="Akapitzlist"/>
        <w:numPr>
          <w:ilvl w:val="0"/>
          <w:numId w:val="42"/>
        </w:numPr>
        <w:autoSpaceDE w:val="0"/>
        <w:autoSpaceDN w:val="0"/>
        <w:adjustRightInd w:val="0"/>
        <w:spacing w:before="0" w:after="0" w:line="276" w:lineRule="auto"/>
        <w:jc w:val="both"/>
      </w:pPr>
      <w:r>
        <w:t xml:space="preserve">Wymagania SOPZ obowiązują w trakcie prezentacji próbki, tzn. sposób realizacji elementów scenariusza musi być spójny z SOPZ i potwierdzać spełnienie wymagań SOPZ w zakresie odpowiednim dla elementu scenariusza. </w:t>
      </w:r>
      <w:r w:rsidRPr="00EF6CB0">
        <w:t>W szczególności powyższe dotyczy zakresu danych właściwych dla danego kroku demonstracji, kryteriów filtrowania i sortowania itp.</w:t>
      </w:r>
    </w:p>
    <w:p w:rsidR="00134FFA" w:rsidRDefault="00134FFA" w:rsidP="00C638CB">
      <w:pPr>
        <w:pStyle w:val="Akapitzlist"/>
        <w:numPr>
          <w:ilvl w:val="0"/>
          <w:numId w:val="42"/>
        </w:numPr>
        <w:autoSpaceDE w:val="0"/>
        <w:autoSpaceDN w:val="0"/>
        <w:adjustRightInd w:val="0"/>
        <w:spacing w:before="0" w:after="0" w:line="276" w:lineRule="auto"/>
        <w:jc w:val="both"/>
      </w:pPr>
      <w:r w:rsidRPr="00EF6CB0">
        <w:t xml:space="preserve">Protokół sporządzony z demonstracji musi zawierać wskazanie, jakie </w:t>
      </w:r>
      <w:r>
        <w:t xml:space="preserve">oferowane przez Wykonawcę </w:t>
      </w:r>
      <w:r w:rsidRPr="00EF6CB0">
        <w:t>oprogramowanie zostało zademonstrowane dla danego scenariusza (nazwa oprogramowania i</w:t>
      </w:r>
      <w:r>
        <w:t> </w:t>
      </w:r>
      <w:r w:rsidRPr="00EF6CB0">
        <w:t>wskazanie autora / producenta) oraz wynik testu dla każdego z kroków scenariusza.</w:t>
      </w:r>
    </w:p>
    <w:p w:rsidR="00134FFA" w:rsidRPr="00FE7438" w:rsidRDefault="00134FFA" w:rsidP="00C638CB">
      <w:pPr>
        <w:pStyle w:val="Akapitzlist"/>
        <w:numPr>
          <w:ilvl w:val="0"/>
          <w:numId w:val="42"/>
        </w:numPr>
        <w:spacing w:before="0" w:after="160"/>
        <w:jc w:val="both"/>
      </w:pPr>
      <w:r w:rsidRPr="00FE7438">
        <w:t xml:space="preserve">Zamawiający dopuszcza udział innych Wykonawców w prezentacji próbki jedynie w sytuacji, jeśli Wykonawca, który został wezwany do prezentacji próbki oferowanego systemu nie zastrzegł skutecznie, że </w:t>
      </w:r>
      <w:r>
        <w:t xml:space="preserve">próbka oprogramowania </w:t>
      </w:r>
      <w:r w:rsidRPr="00FE7438">
        <w:t>stanowi tajemnicę przedsiębiorstwa w rozumieniu przepisów ustawy Prawo zamówień publicznych oraz ustawy o zwalczaniu nieuczciwej konkurencji.</w:t>
      </w:r>
    </w:p>
    <w:p w:rsidR="00134FFA" w:rsidRPr="00FE7438" w:rsidRDefault="00134FFA" w:rsidP="00C638CB">
      <w:pPr>
        <w:pStyle w:val="Akapitzlist"/>
        <w:numPr>
          <w:ilvl w:val="0"/>
          <w:numId w:val="42"/>
        </w:numPr>
        <w:spacing w:before="0" w:after="160"/>
        <w:jc w:val="both"/>
      </w:pPr>
      <w:r w:rsidRPr="00FE7438">
        <w:t>W czasie prezentacji osoby prezentujące system informatyczny muszą posiadać pełnomocnictwo udzielone przez Wykonawcę do przeprowadzenia prezentacji. Pełnomocnictwo może wynikać z dokumentów złożonych w ofercie lub może być doręczone Zamawiającemu przed rozpoczęciem prezentacji (oryginał lub kopia poświadczona za zgodność z oryginałem przez notariusza).</w:t>
      </w:r>
    </w:p>
    <w:p w:rsidR="00134FFA" w:rsidRPr="001C7B4F" w:rsidRDefault="00134FFA" w:rsidP="00C638CB">
      <w:pPr>
        <w:pStyle w:val="Akapitzlist"/>
        <w:numPr>
          <w:ilvl w:val="0"/>
          <w:numId w:val="42"/>
        </w:numPr>
        <w:spacing w:before="0" w:after="160"/>
        <w:jc w:val="both"/>
      </w:pPr>
      <w:r w:rsidRPr="00FE7438">
        <w:t>Zamawiający zastrzega sobie możliwość utrwalania na sprzęcie audiowizualnym przebiegu prezentacji.</w:t>
      </w:r>
      <w:r w:rsidRPr="001C7B4F">
        <w:rPr>
          <w:rFonts w:ascii="Times New Roman" w:hAnsi="Times New Roman"/>
          <w:sz w:val="24"/>
          <w:szCs w:val="24"/>
        </w:rPr>
        <w:br w:type="page"/>
      </w:r>
    </w:p>
    <w:p w:rsidR="007C2DBE" w:rsidRPr="00EF5940" w:rsidRDefault="007C2DBE" w:rsidP="00C638CB">
      <w:pPr>
        <w:pStyle w:val="Nagwek1"/>
        <w:numPr>
          <w:ilvl w:val="0"/>
          <w:numId w:val="1"/>
        </w:numPr>
        <w:ind w:left="0" w:firstLine="0"/>
      </w:pPr>
      <w:r w:rsidRPr="00EF5940">
        <w:lastRenderedPageBreak/>
        <w:t>Scenariusz badania próbki</w:t>
      </w:r>
    </w:p>
    <w:p w:rsidR="007C2DBE" w:rsidRDefault="00BD4614" w:rsidP="003E6801">
      <w:pPr>
        <w:pStyle w:val="Nagwek2"/>
        <w:numPr>
          <w:ilvl w:val="1"/>
          <w:numId w:val="1"/>
        </w:numPr>
        <w:spacing w:before="160"/>
      </w:pPr>
      <w:r>
        <w:t xml:space="preserve">Portal </w:t>
      </w:r>
      <w:r w:rsidR="007C2DBE" w:rsidRPr="000C25EF">
        <w:t>mieszkańca</w:t>
      </w:r>
    </w:p>
    <w:tbl>
      <w:tblPr>
        <w:tblStyle w:val="Tabela-Siatka"/>
        <w:tblW w:w="0" w:type="auto"/>
        <w:tblLook w:val="04A0"/>
      </w:tblPr>
      <w:tblGrid>
        <w:gridCol w:w="562"/>
        <w:gridCol w:w="7088"/>
        <w:gridCol w:w="1412"/>
      </w:tblGrid>
      <w:tr w:rsidR="007C2DBE" w:rsidRPr="00B30D63" w:rsidTr="002664E6">
        <w:tc>
          <w:tcPr>
            <w:tcW w:w="562" w:type="dxa"/>
            <w:shd w:val="clear" w:color="auto" w:fill="D9D9D9" w:themeFill="background1" w:themeFillShade="D9"/>
            <w:vAlign w:val="center"/>
          </w:tcPr>
          <w:p w:rsidR="007C2DBE" w:rsidRPr="00B30D63" w:rsidRDefault="007C2DBE" w:rsidP="00BD4614">
            <w:pPr>
              <w:spacing w:before="0" w:after="0"/>
              <w:rPr>
                <w:b/>
              </w:rPr>
            </w:pPr>
            <w:r w:rsidRPr="00B30D63">
              <w:rPr>
                <w:b/>
              </w:rPr>
              <w:t>Lp.</w:t>
            </w:r>
          </w:p>
        </w:tc>
        <w:tc>
          <w:tcPr>
            <w:tcW w:w="7088" w:type="dxa"/>
            <w:shd w:val="clear" w:color="auto" w:fill="D9D9D9" w:themeFill="background1" w:themeFillShade="D9"/>
            <w:vAlign w:val="center"/>
          </w:tcPr>
          <w:p w:rsidR="007C2DBE" w:rsidRPr="00B30D63" w:rsidRDefault="007C2DBE" w:rsidP="00BD4614">
            <w:pPr>
              <w:spacing w:before="0" w:after="0"/>
              <w:rPr>
                <w:b/>
              </w:rPr>
            </w:pPr>
            <w:r w:rsidRPr="00B30D63">
              <w:rPr>
                <w:b/>
              </w:rPr>
              <w:t>Zakres prezentacji</w:t>
            </w:r>
          </w:p>
        </w:tc>
        <w:tc>
          <w:tcPr>
            <w:tcW w:w="1412" w:type="dxa"/>
            <w:shd w:val="clear" w:color="auto" w:fill="D9D9D9" w:themeFill="background1" w:themeFillShade="D9"/>
            <w:vAlign w:val="center"/>
          </w:tcPr>
          <w:p w:rsidR="007C2DBE" w:rsidRPr="00B30D63" w:rsidRDefault="007C2DBE" w:rsidP="00BD4614">
            <w:pPr>
              <w:spacing w:before="0" w:after="0"/>
              <w:rPr>
                <w:b/>
              </w:rPr>
            </w:pPr>
            <w:r w:rsidRPr="00B30D63">
              <w:rPr>
                <w:b/>
              </w:rPr>
              <w:t>Wynik testu</w:t>
            </w:r>
          </w:p>
          <w:p w:rsidR="007C2DBE" w:rsidRPr="00B30D63" w:rsidRDefault="007C2DBE" w:rsidP="00BD4614">
            <w:pPr>
              <w:spacing w:before="0" w:after="0"/>
              <w:rPr>
                <w:b/>
              </w:rPr>
            </w:pPr>
            <w:r w:rsidRPr="00B30D63">
              <w:rPr>
                <w:b/>
              </w:rPr>
              <w:t>spełnienie wymogów</w:t>
            </w:r>
          </w:p>
          <w:p w:rsidR="007C2DBE" w:rsidRPr="00B30D63" w:rsidRDefault="007C2DBE" w:rsidP="00BD4614">
            <w:pPr>
              <w:spacing w:before="0" w:after="0"/>
              <w:rPr>
                <w:b/>
              </w:rPr>
            </w:pPr>
            <w:r w:rsidRPr="00B30D63">
              <w:rPr>
                <w:b/>
              </w:rPr>
              <w:t>TAK/NIE</w:t>
            </w: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Użytkownik w roli mieszkańca loguje się do systemu.</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7C2DBE" w:rsidP="00BD4614">
            <w:pPr>
              <w:spacing w:before="0" w:after="0" w:line="259" w:lineRule="auto"/>
              <w:contextualSpacing/>
              <w:jc w:val="both"/>
              <w:rPr>
                <w:rFonts w:cstheme="minorHAnsi"/>
              </w:rPr>
            </w:pPr>
            <w:r w:rsidRPr="009F58EF">
              <w:rPr>
                <w:rFonts w:cstheme="minorHAnsi"/>
              </w:rPr>
              <w:t>Wyszukać i sprawdzić stan należności. Dane muszą prezentować minimum:</w:t>
            </w:r>
          </w:p>
          <w:p w:rsidR="007C2DBE" w:rsidRPr="009F58EF" w:rsidRDefault="007C2DBE" w:rsidP="00C638CB">
            <w:pPr>
              <w:pStyle w:val="Akapitzlist"/>
              <w:numPr>
                <w:ilvl w:val="0"/>
                <w:numId w:val="6"/>
              </w:numPr>
              <w:spacing w:before="0" w:after="0" w:line="259" w:lineRule="auto"/>
              <w:jc w:val="both"/>
              <w:rPr>
                <w:rFonts w:cstheme="minorHAnsi"/>
              </w:rPr>
            </w:pPr>
            <w:r w:rsidRPr="009F58EF">
              <w:rPr>
                <w:rFonts w:cstheme="minorHAnsi"/>
              </w:rPr>
              <w:t>tytuł należności (opłata z tytułu podatku</w:t>
            </w:r>
            <w:r>
              <w:rPr>
                <w:rFonts w:cstheme="minorHAnsi"/>
              </w:rPr>
              <w:t xml:space="preserve"> od nieruchomości,</w:t>
            </w:r>
            <w:r>
              <w:t xml:space="preserve"> </w:t>
            </w:r>
            <w:r w:rsidRPr="00E0037D">
              <w:rPr>
                <w:rFonts w:cstheme="minorHAnsi"/>
              </w:rPr>
              <w:t>opłata za gospodarowanie odpadami</w:t>
            </w:r>
            <w:r w:rsidRPr="009F58EF">
              <w:rPr>
                <w:rFonts w:cstheme="minorHAnsi"/>
              </w:rPr>
              <w:t xml:space="preserve"> itp.),</w:t>
            </w:r>
          </w:p>
          <w:p w:rsidR="007C2DBE" w:rsidRPr="009F58EF" w:rsidRDefault="007C2DBE" w:rsidP="00C638CB">
            <w:pPr>
              <w:pStyle w:val="Akapitzlist"/>
              <w:numPr>
                <w:ilvl w:val="0"/>
                <w:numId w:val="6"/>
              </w:numPr>
              <w:spacing w:before="0" w:after="0" w:line="259" w:lineRule="auto"/>
              <w:jc w:val="both"/>
              <w:rPr>
                <w:rFonts w:cstheme="minorHAnsi"/>
              </w:rPr>
            </w:pPr>
            <w:r w:rsidRPr="009F58EF">
              <w:rPr>
                <w:rFonts w:cstheme="minorHAnsi"/>
              </w:rPr>
              <w:t>odsetki,</w:t>
            </w:r>
          </w:p>
          <w:p w:rsidR="007C2DBE" w:rsidRPr="009F58EF" w:rsidRDefault="007C2DBE" w:rsidP="00C638CB">
            <w:pPr>
              <w:pStyle w:val="Akapitzlist"/>
              <w:numPr>
                <w:ilvl w:val="0"/>
                <w:numId w:val="6"/>
              </w:numPr>
              <w:spacing w:before="0" w:after="0" w:line="259" w:lineRule="auto"/>
              <w:jc w:val="both"/>
              <w:rPr>
                <w:rFonts w:cstheme="minorHAnsi"/>
              </w:rPr>
            </w:pPr>
            <w:r w:rsidRPr="009F58EF">
              <w:rPr>
                <w:rFonts w:cstheme="minorHAnsi"/>
              </w:rPr>
              <w:t>koszty upomnienia,</w:t>
            </w:r>
          </w:p>
          <w:p w:rsidR="007C2DBE" w:rsidRPr="00BD4614" w:rsidRDefault="007C2DBE" w:rsidP="00E858E5">
            <w:pPr>
              <w:pStyle w:val="Akapitzlist"/>
              <w:numPr>
                <w:ilvl w:val="0"/>
                <w:numId w:val="6"/>
              </w:numPr>
              <w:spacing w:before="0" w:after="0" w:line="259" w:lineRule="auto"/>
              <w:jc w:val="both"/>
              <w:rPr>
                <w:rFonts w:cstheme="minorHAnsi"/>
              </w:rPr>
            </w:pPr>
            <w:r w:rsidRPr="009F58EF">
              <w:rPr>
                <w:rFonts w:cstheme="minorHAnsi"/>
              </w:rPr>
              <w:t>termin płatności</w:t>
            </w:r>
            <w:r w:rsidRPr="00BD4614">
              <w:rPr>
                <w:rFonts w:cstheme="minorHAnsi"/>
              </w:rPr>
              <w:t>.</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Sprawdzić dodatkowe dane należności: nr decyzji (jeśli występuje), koszty wezwań, czy wystawiony jest tytuł wykonawczy, ile było wpłat na daną należność.</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Wyszukać należności i sprawdzić możliwość filtrowania wg rodzaju, daty, terminu płatności.</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Wybrać należność do opłacenia.</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Jako formę płatności zastosować wydruk polecenia przelewu do zastosowania w banku lub na poczcie.</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pStyle w:val="Default"/>
              <w:spacing w:line="259" w:lineRule="auto"/>
              <w:contextualSpacing/>
              <w:rPr>
                <w:rFonts w:asciiTheme="minorHAnsi" w:hAnsiTheme="minorHAnsi" w:cstheme="minorHAnsi"/>
                <w:color w:val="auto"/>
              </w:rPr>
            </w:pPr>
            <w:r w:rsidRPr="009F58EF">
              <w:rPr>
                <w:rFonts w:asciiTheme="minorHAnsi" w:hAnsiTheme="minorHAnsi" w:cstheme="minorHAnsi"/>
                <w:sz w:val="22"/>
                <w:szCs w:val="22"/>
              </w:rPr>
              <w:t>Sprawdzić, czy druk jest wypełniony prawidłowo.</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Wybrać kolejną należność posiadającą współzobowiązanych.</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Wyświetlić dane współzobowiązanych (imię, nazwisko, adres).</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Wybrać tę należność do opłacenia w trybie online.</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Wykonać płatność (w przypadku braku możliwości wykonania wirtualnej wpłaty można posłużyć się np. prezentacją multimedialną).</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Dokonać przeglądu wykonanych operacji księgowych na płatnościach już zrealizowanych</w:t>
            </w:r>
            <w:r w:rsidR="00E858E5">
              <w:rPr>
                <w:rFonts w:cstheme="minorHAnsi"/>
              </w:rPr>
              <w:t xml:space="preserve"> wpłat</w:t>
            </w:r>
            <w:r w:rsidRPr="009F58EF">
              <w:rPr>
                <w:rFonts w:cstheme="minorHAnsi"/>
              </w:rPr>
              <w:t xml:space="preserve"> z wyszczególnionym dla każdej operacji co najmniej: jej rodzaju, konta bankowego na którym została zaksięgowana operacja, identyfikator, rok, rata, kwota, odsetki, kwota zapłacona faktycznie, data i godzina przelewu.</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Wykonać ponowną próbę dokonania płatności na tę samą należność: sprawdzić, czy system prawidłowo nie dopuści do zapłacenia ponownie za tę samą należność.</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A343C7" w:rsidP="00507DF5">
            <w:pPr>
              <w:spacing w:before="0" w:after="0" w:line="259" w:lineRule="auto"/>
              <w:contextualSpacing/>
              <w:jc w:val="both"/>
              <w:rPr>
                <w:rFonts w:cstheme="minorHAnsi"/>
              </w:rPr>
            </w:pPr>
            <w:r>
              <w:rPr>
                <w:rFonts w:cstheme="minorHAnsi"/>
              </w:rPr>
              <w:t xml:space="preserve">Zaprezentować możliwości wyszukiwania lub filtrowania w zakresie </w:t>
            </w:r>
            <w:r w:rsidRPr="009F58EF">
              <w:rPr>
                <w:rFonts w:cstheme="minorHAnsi"/>
              </w:rPr>
              <w:t>Rodzaju</w:t>
            </w:r>
            <w:r>
              <w:rPr>
                <w:rFonts w:cstheme="minorHAnsi"/>
              </w:rPr>
              <w:t>/tytułu</w:t>
            </w:r>
            <w:r w:rsidRPr="009F58EF">
              <w:rPr>
                <w:rFonts w:cstheme="minorHAnsi"/>
              </w:rPr>
              <w:t xml:space="preserve"> należności</w:t>
            </w:r>
            <w:r>
              <w:rPr>
                <w:rFonts w:cstheme="minorHAnsi"/>
              </w:rPr>
              <w:t xml:space="preserve"> i terminu płatności.</w:t>
            </w:r>
            <w:r w:rsidRPr="009F58EF" w:rsidDel="00A343C7">
              <w:rPr>
                <w:rFonts w:cstheme="minorHAnsi"/>
              </w:rPr>
              <w:t xml:space="preserve"> </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Wylogować się z systemu.</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Zalogować się jako administrator (urząd).</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Akapitzlist"/>
              <w:numPr>
                <w:ilvl w:val="0"/>
                <w:numId w:val="3"/>
              </w:numPr>
              <w:spacing w:before="0" w:after="0"/>
              <w:ind w:left="0" w:firstLine="0"/>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Ustawić datę lub ilość dni przed terminem płatności, która spowoduje wysłanie informacji przypominającej</w:t>
            </w:r>
            <w:r w:rsidR="009F57CF">
              <w:rPr>
                <w:rFonts w:cstheme="minorHAnsi"/>
              </w:rPr>
              <w:t>*</w:t>
            </w:r>
            <w:r w:rsidRPr="009F58EF">
              <w:rPr>
                <w:rFonts w:cstheme="minorHAnsi"/>
              </w:rPr>
              <w:t>.</w:t>
            </w:r>
          </w:p>
        </w:tc>
        <w:tc>
          <w:tcPr>
            <w:tcW w:w="1412" w:type="dxa"/>
          </w:tcPr>
          <w:p w:rsidR="007C2DBE" w:rsidRPr="00B30D63" w:rsidRDefault="007C2DBE" w:rsidP="00BD4614">
            <w:pPr>
              <w:spacing w:before="0" w:after="0"/>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pStyle w:val="Default"/>
              <w:spacing w:line="259" w:lineRule="auto"/>
              <w:contextualSpacing/>
              <w:rPr>
                <w:rFonts w:asciiTheme="minorHAnsi" w:hAnsiTheme="minorHAnsi" w:cstheme="minorHAnsi"/>
                <w:color w:val="auto"/>
              </w:rPr>
            </w:pPr>
            <w:r w:rsidRPr="009F58EF">
              <w:rPr>
                <w:rFonts w:asciiTheme="minorHAnsi" w:hAnsiTheme="minorHAnsi" w:cstheme="minorHAnsi"/>
                <w:sz w:val="22"/>
                <w:szCs w:val="22"/>
              </w:rPr>
              <w:t>Ustawić formę przypomnienia (SMS, email)</w:t>
            </w:r>
            <w:r w:rsidR="009F57CF">
              <w:rPr>
                <w:rFonts w:asciiTheme="minorHAnsi" w:hAnsiTheme="minorHAnsi" w:cstheme="minorHAnsi"/>
                <w:sz w:val="22"/>
                <w:szCs w:val="22"/>
              </w:rPr>
              <w:t>*</w:t>
            </w:r>
            <w:r w:rsidRPr="009F58EF">
              <w:rPr>
                <w:rFonts w:asciiTheme="minorHAnsi" w:hAnsiTheme="minorHAnsi" w:cstheme="minorHAnsi"/>
                <w:sz w:val="22"/>
                <w:szCs w:val="22"/>
              </w:rPr>
              <w:t>.</w:t>
            </w:r>
          </w:p>
        </w:tc>
        <w:tc>
          <w:tcPr>
            <w:tcW w:w="1412" w:type="dxa"/>
          </w:tcPr>
          <w:p w:rsidR="007C2DBE" w:rsidRPr="00B30D63" w:rsidRDefault="007C2DBE" w:rsidP="00BD4614">
            <w:pPr>
              <w:pStyle w:val="Default"/>
              <w:rPr>
                <w:color w:val="auto"/>
                <w:sz w:val="22"/>
                <w:szCs w:val="22"/>
              </w:rPr>
            </w:pPr>
          </w:p>
        </w:tc>
      </w:tr>
      <w:tr w:rsidR="007C2DBE" w:rsidRPr="00B30D63" w:rsidTr="002664E6">
        <w:tc>
          <w:tcPr>
            <w:tcW w:w="562" w:type="dxa"/>
          </w:tcPr>
          <w:p w:rsidR="007C2DBE" w:rsidRPr="00B30D63" w:rsidRDefault="007C2DBE" w:rsidP="00C638CB">
            <w:pPr>
              <w:pStyle w:val="Default"/>
              <w:numPr>
                <w:ilvl w:val="0"/>
                <w:numId w:val="3"/>
              </w:numPr>
              <w:ind w:left="0" w:firstLine="0"/>
              <w:rPr>
                <w:color w:val="auto"/>
                <w:sz w:val="22"/>
                <w:szCs w:val="22"/>
              </w:rPr>
            </w:pPr>
          </w:p>
        </w:tc>
        <w:tc>
          <w:tcPr>
            <w:tcW w:w="7088" w:type="dxa"/>
          </w:tcPr>
          <w:p w:rsidR="007C2DBE" w:rsidRPr="009F58EF" w:rsidRDefault="007C2DBE" w:rsidP="00BD4614">
            <w:pPr>
              <w:spacing w:before="0" w:after="0" w:line="259" w:lineRule="auto"/>
              <w:contextualSpacing/>
              <w:rPr>
                <w:rFonts w:cstheme="minorHAnsi"/>
              </w:rPr>
            </w:pPr>
            <w:r w:rsidRPr="009F58EF">
              <w:rPr>
                <w:rFonts w:cstheme="minorHAnsi"/>
              </w:rPr>
              <w:t>Wylogować się z systemu.</w:t>
            </w:r>
          </w:p>
        </w:tc>
        <w:tc>
          <w:tcPr>
            <w:tcW w:w="1412" w:type="dxa"/>
          </w:tcPr>
          <w:p w:rsidR="007C2DBE" w:rsidRPr="00B30D63" w:rsidRDefault="007C2DBE" w:rsidP="00BD4614">
            <w:pPr>
              <w:pStyle w:val="Default"/>
              <w:rPr>
                <w:color w:val="auto"/>
                <w:sz w:val="22"/>
                <w:szCs w:val="22"/>
              </w:rPr>
            </w:pPr>
          </w:p>
        </w:tc>
      </w:tr>
    </w:tbl>
    <w:p w:rsidR="009F57CF" w:rsidRDefault="009F57CF" w:rsidP="009F57CF">
      <w:r>
        <w:lastRenderedPageBreak/>
        <w:t>*</w:t>
      </w:r>
      <w:r w:rsidRPr="009F57CF">
        <w:t xml:space="preserve"> </w:t>
      </w:r>
      <w:r>
        <w:t xml:space="preserve">Jeżeli w rozwiązaniu oferowanym przez wykonawcę funkcjonalności wskazane w krokach </w:t>
      </w:r>
      <w:r w:rsidR="00707DA4">
        <w:t xml:space="preserve">17 </w:t>
      </w:r>
      <w:r>
        <w:t xml:space="preserve">i </w:t>
      </w:r>
      <w:r w:rsidR="00707DA4">
        <w:t xml:space="preserve">18 </w:t>
      </w:r>
      <w:r>
        <w:t>uruchamiane / konfigurowane są z poziomu systemów dziedzinowych, dopuszcza się ich prezentację w ciągu realizacji scenariusza 3.</w:t>
      </w:r>
      <w:r w:rsidR="00707DA4">
        <w:t>2</w:t>
      </w:r>
      <w:r>
        <w:t xml:space="preserve">. Zintegrowany System Dziedzinowy - </w:t>
      </w:r>
      <w:r w:rsidR="00707DA4">
        <w:t>ewidencja podatkowa</w:t>
      </w:r>
      <w:r>
        <w:t>.</w:t>
      </w:r>
    </w:p>
    <w:p w:rsidR="008812CA" w:rsidRPr="006A250F" w:rsidRDefault="008812CA" w:rsidP="003E6801">
      <w:pPr>
        <w:pStyle w:val="Nagwek2"/>
        <w:numPr>
          <w:ilvl w:val="1"/>
          <w:numId w:val="1"/>
        </w:numPr>
        <w:spacing w:before="160"/>
      </w:pPr>
      <w:r>
        <w:t>Zintegrowany System Dziedzinowy – ewidencja podatkowa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7165"/>
        <w:gridCol w:w="1411"/>
      </w:tblGrid>
      <w:tr w:rsidR="008812CA" w:rsidRPr="0035756C" w:rsidTr="008812CA">
        <w:trPr>
          <w:trHeight w:val="20"/>
        </w:trPr>
        <w:tc>
          <w:tcPr>
            <w:tcW w:w="486" w:type="dxa"/>
            <w:shd w:val="clear" w:color="auto" w:fill="D0CECE"/>
            <w:vAlign w:val="center"/>
          </w:tcPr>
          <w:p w:rsidR="008812CA" w:rsidRPr="0035756C" w:rsidRDefault="008812CA" w:rsidP="00CE03AA">
            <w:pPr>
              <w:spacing w:after="0"/>
              <w:contextualSpacing/>
              <w:rPr>
                <w:b/>
              </w:rPr>
            </w:pPr>
            <w:r w:rsidRPr="0035756C">
              <w:rPr>
                <w:b/>
              </w:rPr>
              <w:t>Lp.</w:t>
            </w:r>
          </w:p>
        </w:tc>
        <w:tc>
          <w:tcPr>
            <w:tcW w:w="7165" w:type="dxa"/>
            <w:shd w:val="clear" w:color="auto" w:fill="D0CECE"/>
            <w:vAlign w:val="center"/>
          </w:tcPr>
          <w:p w:rsidR="008812CA" w:rsidRPr="0035756C" w:rsidRDefault="008812CA" w:rsidP="00CE03AA">
            <w:pPr>
              <w:spacing w:after="0"/>
              <w:contextualSpacing/>
              <w:rPr>
                <w:b/>
              </w:rPr>
            </w:pPr>
            <w:r w:rsidRPr="0035756C">
              <w:rPr>
                <w:b/>
              </w:rPr>
              <w:t>Zakres prezentacji</w:t>
            </w:r>
          </w:p>
        </w:tc>
        <w:tc>
          <w:tcPr>
            <w:tcW w:w="1411" w:type="dxa"/>
            <w:shd w:val="clear" w:color="auto" w:fill="D0CECE"/>
            <w:vAlign w:val="center"/>
          </w:tcPr>
          <w:p w:rsidR="008812CA" w:rsidRPr="0035756C" w:rsidRDefault="008812CA" w:rsidP="00CE03AA">
            <w:pPr>
              <w:spacing w:after="0"/>
              <w:contextualSpacing/>
              <w:rPr>
                <w:b/>
              </w:rPr>
            </w:pPr>
            <w:r w:rsidRPr="0035756C">
              <w:rPr>
                <w:b/>
              </w:rPr>
              <w:t>Wynik testu</w:t>
            </w:r>
          </w:p>
          <w:p w:rsidR="008812CA" w:rsidRPr="0035756C" w:rsidRDefault="008812CA" w:rsidP="00CE03AA">
            <w:pPr>
              <w:spacing w:after="0"/>
              <w:contextualSpacing/>
              <w:rPr>
                <w:b/>
              </w:rPr>
            </w:pPr>
            <w:r w:rsidRPr="0035756C">
              <w:rPr>
                <w:b/>
              </w:rPr>
              <w:t>spełnienie wymogów</w:t>
            </w:r>
          </w:p>
          <w:p w:rsidR="008812CA" w:rsidRPr="0035756C" w:rsidRDefault="008812CA" w:rsidP="00CE03AA">
            <w:pPr>
              <w:spacing w:after="0"/>
              <w:contextualSpacing/>
              <w:rPr>
                <w:b/>
              </w:rPr>
            </w:pPr>
            <w:r w:rsidRPr="0035756C">
              <w:rPr>
                <w:b/>
              </w:rPr>
              <w:t>TAK/NIE</w:t>
            </w:r>
          </w:p>
        </w:tc>
      </w:tr>
      <w:tr w:rsidR="008812CA" w:rsidRPr="0035756C" w:rsidTr="008812CA">
        <w:trPr>
          <w:trHeight w:val="20"/>
        </w:trPr>
        <w:tc>
          <w:tcPr>
            <w:tcW w:w="486" w:type="dxa"/>
          </w:tcPr>
          <w:p w:rsidR="008812CA" w:rsidRPr="0035756C" w:rsidRDefault="008812CA" w:rsidP="00CE03AA">
            <w:pPr>
              <w:spacing w:after="0"/>
              <w:contextualSpacing/>
            </w:pPr>
            <w:r w:rsidRPr="0035756C">
              <w:t>1</w:t>
            </w:r>
          </w:p>
        </w:tc>
        <w:tc>
          <w:tcPr>
            <w:tcW w:w="7165" w:type="dxa"/>
            <w:vAlign w:val="center"/>
          </w:tcPr>
          <w:p w:rsidR="008812CA" w:rsidRPr="0035756C" w:rsidRDefault="008812CA" w:rsidP="00CE03AA">
            <w:pPr>
              <w:spacing w:after="0"/>
              <w:contextualSpacing/>
            </w:pPr>
            <w:r w:rsidRPr="0035756C">
              <w:t xml:space="preserve">Prezentacja wspólnej ewidencji kart podatkowych dla wszystkich rodzajów podatków z uwzględnieniem podziału na obręby podatkowe i </w:t>
            </w:r>
            <w:r w:rsidR="003068B1" w:rsidRPr="0035756C">
              <w:t>numeracj</w:t>
            </w:r>
            <w:r w:rsidR="003068B1">
              <w:t>i</w:t>
            </w:r>
            <w:r w:rsidR="003068B1" w:rsidRPr="0035756C">
              <w:t xml:space="preserve"> </w:t>
            </w:r>
            <w:r w:rsidRPr="0035756C">
              <w:t>kart w ich obrębie.</w:t>
            </w:r>
          </w:p>
        </w:tc>
        <w:tc>
          <w:tcPr>
            <w:tcW w:w="1411" w:type="dxa"/>
          </w:tcPr>
          <w:p w:rsidR="008812CA" w:rsidRPr="0035756C" w:rsidRDefault="008812CA" w:rsidP="00CE03AA">
            <w:pPr>
              <w:spacing w:after="0"/>
              <w:contextualSpacing/>
            </w:pPr>
          </w:p>
        </w:tc>
      </w:tr>
      <w:tr w:rsidR="003E6801" w:rsidRPr="0035756C" w:rsidTr="008812CA">
        <w:trPr>
          <w:trHeight w:val="20"/>
        </w:trPr>
        <w:tc>
          <w:tcPr>
            <w:tcW w:w="486" w:type="dxa"/>
          </w:tcPr>
          <w:p w:rsidR="003E6801" w:rsidRPr="0035756C" w:rsidRDefault="003E6801" w:rsidP="00CE03AA">
            <w:pPr>
              <w:spacing w:after="0"/>
              <w:contextualSpacing/>
            </w:pPr>
            <w:r>
              <w:t>2</w:t>
            </w:r>
          </w:p>
        </w:tc>
        <w:tc>
          <w:tcPr>
            <w:tcW w:w="7165" w:type="dxa"/>
            <w:vAlign w:val="center"/>
          </w:tcPr>
          <w:p w:rsidR="003E6801" w:rsidRPr="0035756C" w:rsidRDefault="003E6801" w:rsidP="00CE03AA">
            <w:pPr>
              <w:spacing w:after="0"/>
              <w:contextualSpacing/>
            </w:pPr>
            <w:r w:rsidRPr="0035756C">
              <w:t xml:space="preserve">Prezentacja możliwości wyboru grup kart w zakresie </w:t>
            </w:r>
            <w:r w:rsidR="003068B1">
              <w:t xml:space="preserve">przedmiotu </w:t>
            </w:r>
            <w:r w:rsidRPr="0035756C">
              <w:t>opodatkowania (podatek rolny, leśny, od nieruchomości, łączne zobowiązanie).</w:t>
            </w:r>
          </w:p>
        </w:tc>
        <w:tc>
          <w:tcPr>
            <w:tcW w:w="1411" w:type="dxa"/>
          </w:tcPr>
          <w:p w:rsidR="003E6801" w:rsidRPr="0035756C" w:rsidRDefault="003E6801" w:rsidP="00CE03AA">
            <w:pPr>
              <w:spacing w:after="0"/>
              <w:contextualSpacing/>
            </w:pPr>
          </w:p>
        </w:tc>
      </w:tr>
      <w:tr w:rsidR="008812CA" w:rsidRPr="0035756C" w:rsidTr="008812CA">
        <w:trPr>
          <w:trHeight w:val="20"/>
        </w:trPr>
        <w:tc>
          <w:tcPr>
            <w:tcW w:w="486" w:type="dxa"/>
          </w:tcPr>
          <w:p w:rsidR="008812CA" w:rsidRPr="0035756C" w:rsidRDefault="003E6801" w:rsidP="00CE03AA">
            <w:pPr>
              <w:spacing w:after="0"/>
              <w:contextualSpacing/>
            </w:pPr>
            <w:r>
              <w:t>3</w:t>
            </w:r>
          </w:p>
        </w:tc>
        <w:tc>
          <w:tcPr>
            <w:tcW w:w="7165" w:type="dxa"/>
            <w:vAlign w:val="center"/>
          </w:tcPr>
          <w:p w:rsidR="008812CA" w:rsidRPr="0035756C" w:rsidRDefault="008812CA" w:rsidP="00CE03AA">
            <w:pPr>
              <w:spacing w:after="0"/>
              <w:contextualSpacing/>
            </w:pPr>
            <w:r w:rsidRPr="0035756C">
              <w:t xml:space="preserve">Prezentacja możliwości naliczania podatku rolnego wg hektarów fizycznych i przeliczeniowych. </w:t>
            </w:r>
          </w:p>
        </w:tc>
        <w:tc>
          <w:tcPr>
            <w:tcW w:w="1411" w:type="dxa"/>
          </w:tcPr>
          <w:p w:rsidR="008812CA" w:rsidRPr="0035756C" w:rsidRDefault="008812CA" w:rsidP="00CE03AA">
            <w:pPr>
              <w:spacing w:after="0"/>
              <w:contextualSpacing/>
            </w:pPr>
          </w:p>
        </w:tc>
      </w:tr>
      <w:tr w:rsidR="003E6801" w:rsidRPr="0035756C" w:rsidTr="008812CA">
        <w:trPr>
          <w:trHeight w:val="20"/>
        </w:trPr>
        <w:tc>
          <w:tcPr>
            <w:tcW w:w="486" w:type="dxa"/>
          </w:tcPr>
          <w:p w:rsidR="003E6801" w:rsidRPr="0035756C" w:rsidRDefault="003E6801" w:rsidP="00CE03AA">
            <w:pPr>
              <w:spacing w:after="0"/>
              <w:contextualSpacing/>
            </w:pPr>
            <w:r>
              <w:t>4</w:t>
            </w:r>
          </w:p>
        </w:tc>
        <w:tc>
          <w:tcPr>
            <w:tcW w:w="7165" w:type="dxa"/>
            <w:vAlign w:val="center"/>
          </w:tcPr>
          <w:p w:rsidR="003E6801" w:rsidRPr="0035756C" w:rsidRDefault="003E6801" w:rsidP="00CE03AA">
            <w:pPr>
              <w:spacing w:after="0"/>
              <w:contextualSpacing/>
            </w:pPr>
            <w:r w:rsidRPr="0035756C">
              <w:t>Prezentacja zmiany sposobu opodatkowania w roku podatkowym (zmiana nie powinna wymuszać założenia nowej karty, a jedynie wprowadzenia daty, od której ma nastąpić zmiana sposobu jego naliczania).</w:t>
            </w:r>
          </w:p>
        </w:tc>
        <w:tc>
          <w:tcPr>
            <w:tcW w:w="1411" w:type="dxa"/>
          </w:tcPr>
          <w:p w:rsidR="003E6801" w:rsidRPr="0035756C" w:rsidRDefault="003E6801" w:rsidP="00CE03AA">
            <w:pPr>
              <w:spacing w:after="0"/>
              <w:contextualSpacing/>
            </w:pPr>
          </w:p>
        </w:tc>
      </w:tr>
      <w:tr w:rsidR="008812CA" w:rsidRPr="0035756C" w:rsidTr="008812CA">
        <w:trPr>
          <w:trHeight w:val="20"/>
        </w:trPr>
        <w:tc>
          <w:tcPr>
            <w:tcW w:w="486" w:type="dxa"/>
          </w:tcPr>
          <w:p w:rsidR="008812CA" w:rsidRPr="0035756C" w:rsidRDefault="003E6801" w:rsidP="00CE03AA">
            <w:pPr>
              <w:spacing w:after="0"/>
              <w:contextualSpacing/>
            </w:pPr>
            <w:r>
              <w:t>5</w:t>
            </w:r>
          </w:p>
        </w:tc>
        <w:tc>
          <w:tcPr>
            <w:tcW w:w="7165" w:type="dxa"/>
            <w:vAlign w:val="center"/>
          </w:tcPr>
          <w:p w:rsidR="008812CA" w:rsidRPr="0035756C" w:rsidRDefault="008812CA" w:rsidP="00CE03AA">
            <w:pPr>
              <w:spacing w:after="0"/>
              <w:contextualSpacing/>
            </w:pPr>
            <w:r w:rsidRPr="0035756C">
              <w:t xml:space="preserve">Prezentacja możliwości wiązania </w:t>
            </w:r>
            <w:r w:rsidR="003068B1">
              <w:t xml:space="preserve">(scalania) </w:t>
            </w:r>
            <w:r w:rsidRPr="0035756C">
              <w:t>kart podatkowych. Karta po scaleniu powinna zawierać przedmioty opodatkowania znajdujące się na wszystkich powiązanych kartach.</w:t>
            </w:r>
          </w:p>
          <w:p w:rsidR="008812CA" w:rsidRPr="0035756C" w:rsidRDefault="008812CA" w:rsidP="00CE03AA">
            <w:pPr>
              <w:spacing w:after="0"/>
              <w:contextualSpacing/>
            </w:pPr>
            <w:r w:rsidRPr="0035756C">
              <w:t>Użytkownik określa nadrzędną kartę do której będą przeniesione dane z kart podrzędnych.</w:t>
            </w:r>
          </w:p>
        </w:tc>
        <w:tc>
          <w:tcPr>
            <w:tcW w:w="1411" w:type="dxa"/>
          </w:tcPr>
          <w:p w:rsidR="008812CA" w:rsidRPr="0035756C" w:rsidRDefault="008812CA" w:rsidP="00CE03AA">
            <w:pPr>
              <w:spacing w:after="0"/>
              <w:contextualSpacing/>
            </w:pPr>
          </w:p>
        </w:tc>
      </w:tr>
      <w:tr w:rsidR="008812CA" w:rsidRPr="0035756C" w:rsidTr="008812CA">
        <w:trPr>
          <w:trHeight w:val="20"/>
        </w:trPr>
        <w:tc>
          <w:tcPr>
            <w:tcW w:w="486" w:type="dxa"/>
          </w:tcPr>
          <w:p w:rsidR="008812CA" w:rsidRPr="0035756C" w:rsidRDefault="003E6801" w:rsidP="00CE03AA">
            <w:pPr>
              <w:spacing w:after="0"/>
              <w:contextualSpacing/>
            </w:pPr>
            <w:r>
              <w:t>6</w:t>
            </w:r>
          </w:p>
        </w:tc>
        <w:tc>
          <w:tcPr>
            <w:tcW w:w="7165" w:type="dxa"/>
            <w:vAlign w:val="center"/>
          </w:tcPr>
          <w:p w:rsidR="008812CA" w:rsidRPr="0035756C" w:rsidRDefault="008812CA" w:rsidP="00CE03AA">
            <w:pPr>
              <w:spacing w:after="0"/>
              <w:contextualSpacing/>
            </w:pPr>
            <w:r w:rsidRPr="0035756C">
              <w:t xml:space="preserve">Naliczenie zmian w wysokości podatku i wydanie stosownej decyzji z uwzględnieniem przeliczania zmian do lat ubiegłych i wydanie stosownych decyzji z zastosowaniem stawek archiwalnych oraz odpowiednich podstaw prawnych. </w:t>
            </w:r>
          </w:p>
        </w:tc>
        <w:tc>
          <w:tcPr>
            <w:tcW w:w="1411" w:type="dxa"/>
          </w:tcPr>
          <w:p w:rsidR="008812CA" w:rsidRDefault="008812CA" w:rsidP="00CE03AA">
            <w:pPr>
              <w:spacing w:after="0"/>
              <w:contextualSpacing/>
            </w:pPr>
          </w:p>
          <w:p w:rsidR="003E6801" w:rsidRPr="0035756C" w:rsidRDefault="003E6801" w:rsidP="00CE03AA">
            <w:pPr>
              <w:spacing w:after="0"/>
              <w:contextualSpacing/>
            </w:pPr>
          </w:p>
        </w:tc>
      </w:tr>
      <w:tr w:rsidR="003E6801" w:rsidRPr="0035756C" w:rsidTr="008812CA">
        <w:trPr>
          <w:trHeight w:val="20"/>
        </w:trPr>
        <w:tc>
          <w:tcPr>
            <w:tcW w:w="486" w:type="dxa"/>
          </w:tcPr>
          <w:p w:rsidR="003E6801" w:rsidRDefault="003E6801" w:rsidP="00CE03AA">
            <w:pPr>
              <w:spacing w:after="0"/>
              <w:contextualSpacing/>
            </w:pPr>
            <w:r>
              <w:t>7</w:t>
            </w:r>
          </w:p>
        </w:tc>
        <w:tc>
          <w:tcPr>
            <w:tcW w:w="7165" w:type="dxa"/>
            <w:vAlign w:val="center"/>
          </w:tcPr>
          <w:p w:rsidR="003E6801" w:rsidRPr="0035756C" w:rsidRDefault="003E6801" w:rsidP="00CE03AA">
            <w:pPr>
              <w:spacing w:after="0"/>
              <w:contextualSpacing/>
            </w:pPr>
            <w:r w:rsidRPr="0035756C">
              <w:t>Prezentacja zastosowania kodów kreskowych we wzorach wydruków (kod kreskowy powinien zawierać identyfikację płatnika, kwoty wpłaty, identyfikację zobowiązania).</w:t>
            </w:r>
          </w:p>
        </w:tc>
        <w:tc>
          <w:tcPr>
            <w:tcW w:w="1411" w:type="dxa"/>
          </w:tcPr>
          <w:p w:rsidR="003E6801" w:rsidRDefault="003E6801" w:rsidP="00CE03AA">
            <w:pPr>
              <w:spacing w:after="0"/>
              <w:contextualSpacing/>
            </w:pPr>
          </w:p>
        </w:tc>
      </w:tr>
      <w:tr w:rsidR="003E6801" w:rsidRPr="0035756C" w:rsidTr="008812CA">
        <w:trPr>
          <w:trHeight w:val="20"/>
        </w:trPr>
        <w:tc>
          <w:tcPr>
            <w:tcW w:w="486" w:type="dxa"/>
          </w:tcPr>
          <w:p w:rsidR="003E6801" w:rsidRDefault="003E6801" w:rsidP="00CE03AA">
            <w:pPr>
              <w:spacing w:after="0"/>
              <w:contextualSpacing/>
            </w:pPr>
            <w:r>
              <w:t>8</w:t>
            </w:r>
          </w:p>
        </w:tc>
        <w:tc>
          <w:tcPr>
            <w:tcW w:w="7165" w:type="dxa"/>
            <w:vAlign w:val="center"/>
          </w:tcPr>
          <w:p w:rsidR="003E6801" w:rsidRPr="0035756C" w:rsidRDefault="003E6801" w:rsidP="00CE03AA">
            <w:pPr>
              <w:spacing w:after="0"/>
              <w:contextualSpacing/>
            </w:pPr>
            <w:r w:rsidRPr="0035756C">
              <w:t>Prezentacja możliwości zastosowania w wydrukach indywidualnych numerów rachunków bankowych dla obsługi płatności masowych.</w:t>
            </w:r>
          </w:p>
        </w:tc>
        <w:tc>
          <w:tcPr>
            <w:tcW w:w="1411" w:type="dxa"/>
          </w:tcPr>
          <w:p w:rsidR="003E6801" w:rsidRDefault="003E6801" w:rsidP="00CE03AA">
            <w:pPr>
              <w:spacing w:after="0"/>
              <w:contextualSpacing/>
            </w:pPr>
          </w:p>
        </w:tc>
      </w:tr>
      <w:tr w:rsidR="008812CA" w:rsidRPr="0035756C" w:rsidTr="008812CA">
        <w:trPr>
          <w:trHeight w:val="20"/>
        </w:trPr>
        <w:tc>
          <w:tcPr>
            <w:tcW w:w="486" w:type="dxa"/>
          </w:tcPr>
          <w:p w:rsidR="008812CA" w:rsidRPr="0035756C" w:rsidRDefault="003E6801" w:rsidP="00CE03AA">
            <w:pPr>
              <w:spacing w:after="0"/>
              <w:contextualSpacing/>
            </w:pPr>
            <w:r>
              <w:t>9</w:t>
            </w:r>
          </w:p>
        </w:tc>
        <w:tc>
          <w:tcPr>
            <w:tcW w:w="7165" w:type="dxa"/>
            <w:vAlign w:val="center"/>
          </w:tcPr>
          <w:p w:rsidR="008812CA" w:rsidRPr="0035756C" w:rsidRDefault="008812CA" w:rsidP="00CE03AA">
            <w:pPr>
              <w:spacing w:after="0"/>
              <w:contextualSpacing/>
            </w:pPr>
            <w:r w:rsidRPr="0035756C">
              <w:t>Modyfikacja standardowego wzoru wydruku oraz wprowadzenie własnego wzoru z wykorzystaniem formatu RTF i z uwzględnieniem automatycznego wypełniania wydruku danymi z programu.</w:t>
            </w:r>
          </w:p>
        </w:tc>
        <w:tc>
          <w:tcPr>
            <w:tcW w:w="1411" w:type="dxa"/>
          </w:tcPr>
          <w:p w:rsidR="008812CA" w:rsidRPr="0035756C" w:rsidRDefault="008812CA" w:rsidP="00CE03AA">
            <w:pPr>
              <w:spacing w:after="0"/>
              <w:contextualSpacing/>
            </w:pPr>
          </w:p>
        </w:tc>
      </w:tr>
      <w:tr w:rsidR="008812CA" w:rsidRPr="0035756C" w:rsidTr="008812CA">
        <w:trPr>
          <w:trHeight w:val="20"/>
        </w:trPr>
        <w:tc>
          <w:tcPr>
            <w:tcW w:w="486" w:type="dxa"/>
          </w:tcPr>
          <w:p w:rsidR="008812CA" w:rsidRPr="0035756C" w:rsidRDefault="003E6801" w:rsidP="00CE03AA">
            <w:pPr>
              <w:spacing w:after="0"/>
              <w:contextualSpacing/>
            </w:pPr>
            <w:r>
              <w:t>10</w:t>
            </w:r>
          </w:p>
        </w:tc>
        <w:tc>
          <w:tcPr>
            <w:tcW w:w="7165" w:type="dxa"/>
            <w:vAlign w:val="center"/>
          </w:tcPr>
          <w:p w:rsidR="008812CA" w:rsidRPr="0035756C" w:rsidRDefault="008812CA" w:rsidP="00CE03AA">
            <w:pPr>
              <w:spacing w:after="0"/>
              <w:contextualSpacing/>
            </w:pPr>
            <w:r w:rsidRPr="0035756C">
              <w:t xml:space="preserve">Wydanie zaświadczenia z wielu kart na jednym wydruku. </w:t>
            </w:r>
          </w:p>
        </w:tc>
        <w:tc>
          <w:tcPr>
            <w:tcW w:w="1411" w:type="dxa"/>
          </w:tcPr>
          <w:p w:rsidR="008812CA" w:rsidRPr="0035756C" w:rsidRDefault="008812CA" w:rsidP="00CE03AA">
            <w:pPr>
              <w:spacing w:after="0"/>
              <w:contextualSpacing/>
            </w:pPr>
          </w:p>
        </w:tc>
      </w:tr>
      <w:tr w:rsidR="008812CA" w:rsidRPr="0035756C" w:rsidTr="008812CA">
        <w:trPr>
          <w:trHeight w:val="20"/>
        </w:trPr>
        <w:tc>
          <w:tcPr>
            <w:tcW w:w="486" w:type="dxa"/>
          </w:tcPr>
          <w:p w:rsidR="008812CA" w:rsidRPr="0035756C" w:rsidRDefault="003E6801" w:rsidP="00CE03AA">
            <w:pPr>
              <w:spacing w:after="0"/>
              <w:contextualSpacing/>
            </w:pPr>
            <w:r>
              <w:t>11</w:t>
            </w:r>
          </w:p>
        </w:tc>
        <w:tc>
          <w:tcPr>
            <w:tcW w:w="7165" w:type="dxa"/>
            <w:vAlign w:val="center"/>
          </w:tcPr>
          <w:p w:rsidR="008812CA" w:rsidRPr="0035756C" w:rsidRDefault="008812CA" w:rsidP="00CE03AA">
            <w:pPr>
              <w:spacing w:after="0"/>
              <w:contextualSpacing/>
            </w:pPr>
            <w:r w:rsidRPr="0035756C">
              <w:t xml:space="preserve">Prezentacja obsługi indywidualnych numerów rachunków bankowych, na które będą dokonywać wpłaty podatnicy. </w:t>
            </w:r>
          </w:p>
        </w:tc>
        <w:tc>
          <w:tcPr>
            <w:tcW w:w="1411" w:type="dxa"/>
          </w:tcPr>
          <w:p w:rsidR="008812CA" w:rsidRPr="0035756C" w:rsidRDefault="008812CA" w:rsidP="00CE03AA">
            <w:pPr>
              <w:spacing w:after="0"/>
              <w:contextualSpacing/>
            </w:pPr>
          </w:p>
        </w:tc>
      </w:tr>
      <w:tr w:rsidR="003E6801" w:rsidRPr="0035756C" w:rsidTr="008812CA">
        <w:trPr>
          <w:trHeight w:val="20"/>
        </w:trPr>
        <w:tc>
          <w:tcPr>
            <w:tcW w:w="486" w:type="dxa"/>
          </w:tcPr>
          <w:p w:rsidR="003E6801" w:rsidRDefault="003E6801" w:rsidP="00CE03AA">
            <w:pPr>
              <w:spacing w:after="0"/>
              <w:contextualSpacing/>
            </w:pPr>
            <w:r>
              <w:t>12</w:t>
            </w:r>
          </w:p>
        </w:tc>
        <w:tc>
          <w:tcPr>
            <w:tcW w:w="7165" w:type="dxa"/>
            <w:vAlign w:val="center"/>
          </w:tcPr>
          <w:p w:rsidR="003E6801" w:rsidRPr="0035756C" w:rsidRDefault="003E6801" w:rsidP="00CE03AA">
            <w:pPr>
              <w:spacing w:after="0"/>
              <w:contextualSpacing/>
            </w:pPr>
            <w:r w:rsidRPr="0035756C">
              <w:t>Prezentacja możliwości dostosowania w/w rozwiązania do wymogów bankowych płatności masowych.</w:t>
            </w:r>
          </w:p>
          <w:p w:rsidR="003E6801" w:rsidRPr="0035756C" w:rsidRDefault="003E6801" w:rsidP="00CE03AA">
            <w:pPr>
              <w:spacing w:after="0"/>
              <w:contextualSpacing/>
            </w:pPr>
            <w:r w:rsidRPr="0035756C">
              <w:t>Demonstracja zakresu konfiguracji rozwiązań.</w:t>
            </w:r>
          </w:p>
        </w:tc>
        <w:tc>
          <w:tcPr>
            <w:tcW w:w="1411" w:type="dxa"/>
          </w:tcPr>
          <w:p w:rsidR="003E6801" w:rsidRPr="0035756C" w:rsidRDefault="003E6801" w:rsidP="00CE03AA">
            <w:pPr>
              <w:spacing w:after="0"/>
              <w:contextualSpacing/>
            </w:pPr>
          </w:p>
        </w:tc>
      </w:tr>
    </w:tbl>
    <w:p w:rsidR="008812CA" w:rsidRDefault="008812CA" w:rsidP="00CE03AA">
      <w:pPr>
        <w:pStyle w:val="Nagwek2"/>
        <w:numPr>
          <w:ilvl w:val="1"/>
          <w:numId w:val="1"/>
        </w:numPr>
        <w:spacing w:before="160"/>
      </w:pPr>
      <w:r>
        <w:lastRenderedPageBreak/>
        <w:t>Zintegrowany System Dziedzinowy – k</w:t>
      </w:r>
      <w:r w:rsidRPr="008812CA">
        <w:t>sięgowanie należności z tytułu podatków i opłat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7165"/>
        <w:gridCol w:w="1411"/>
      </w:tblGrid>
      <w:tr w:rsidR="008812CA" w:rsidRPr="0035756C" w:rsidTr="008812CA">
        <w:tc>
          <w:tcPr>
            <w:tcW w:w="486" w:type="dxa"/>
            <w:shd w:val="clear" w:color="auto" w:fill="D0CECE"/>
            <w:vAlign w:val="center"/>
          </w:tcPr>
          <w:p w:rsidR="008812CA" w:rsidRPr="0035756C" w:rsidRDefault="008812CA" w:rsidP="000031FA">
            <w:pPr>
              <w:spacing w:after="0"/>
              <w:contextualSpacing/>
              <w:rPr>
                <w:b/>
              </w:rPr>
            </w:pPr>
            <w:r w:rsidRPr="0035756C">
              <w:rPr>
                <w:b/>
              </w:rPr>
              <w:t>Lp.</w:t>
            </w:r>
          </w:p>
        </w:tc>
        <w:tc>
          <w:tcPr>
            <w:tcW w:w="7165" w:type="dxa"/>
            <w:shd w:val="clear" w:color="auto" w:fill="D0CECE"/>
            <w:vAlign w:val="center"/>
          </w:tcPr>
          <w:p w:rsidR="008812CA" w:rsidRPr="0035756C" w:rsidRDefault="008812CA" w:rsidP="000031FA">
            <w:pPr>
              <w:spacing w:after="0"/>
              <w:contextualSpacing/>
              <w:rPr>
                <w:b/>
              </w:rPr>
            </w:pPr>
            <w:r w:rsidRPr="0035756C">
              <w:rPr>
                <w:b/>
              </w:rPr>
              <w:t>Zakres prezentacji</w:t>
            </w:r>
          </w:p>
        </w:tc>
        <w:tc>
          <w:tcPr>
            <w:tcW w:w="1411" w:type="dxa"/>
            <w:shd w:val="clear" w:color="auto" w:fill="D0CECE"/>
            <w:vAlign w:val="center"/>
          </w:tcPr>
          <w:p w:rsidR="008812CA" w:rsidRPr="0035756C" w:rsidRDefault="008812CA" w:rsidP="000031FA">
            <w:pPr>
              <w:spacing w:after="0"/>
              <w:contextualSpacing/>
              <w:rPr>
                <w:b/>
              </w:rPr>
            </w:pPr>
            <w:r w:rsidRPr="0035756C">
              <w:rPr>
                <w:b/>
              </w:rPr>
              <w:t>Wynik testu</w:t>
            </w:r>
          </w:p>
          <w:p w:rsidR="008812CA" w:rsidRPr="0035756C" w:rsidRDefault="008812CA" w:rsidP="000031FA">
            <w:pPr>
              <w:spacing w:after="0"/>
              <w:contextualSpacing/>
              <w:rPr>
                <w:b/>
              </w:rPr>
            </w:pPr>
            <w:r w:rsidRPr="0035756C">
              <w:rPr>
                <w:b/>
              </w:rPr>
              <w:t>spełnienie wymogów</w:t>
            </w:r>
          </w:p>
          <w:p w:rsidR="008812CA" w:rsidRPr="0035756C" w:rsidRDefault="008812CA" w:rsidP="000031FA">
            <w:pPr>
              <w:spacing w:after="0"/>
              <w:contextualSpacing/>
              <w:rPr>
                <w:b/>
              </w:rPr>
            </w:pPr>
            <w:r w:rsidRPr="0035756C">
              <w:rPr>
                <w:b/>
              </w:rPr>
              <w:t>TAK/NIE</w:t>
            </w:r>
          </w:p>
        </w:tc>
      </w:tr>
      <w:tr w:rsidR="008812CA" w:rsidRPr="0035756C" w:rsidTr="008812CA">
        <w:tc>
          <w:tcPr>
            <w:tcW w:w="486" w:type="dxa"/>
          </w:tcPr>
          <w:p w:rsidR="008812CA" w:rsidRPr="0035756C" w:rsidRDefault="008812CA" w:rsidP="000031FA">
            <w:pPr>
              <w:spacing w:after="0"/>
              <w:contextualSpacing/>
            </w:pPr>
            <w:r w:rsidRPr="0035756C">
              <w:t>1</w:t>
            </w:r>
          </w:p>
        </w:tc>
        <w:tc>
          <w:tcPr>
            <w:tcW w:w="7165" w:type="dxa"/>
            <w:vAlign w:val="center"/>
          </w:tcPr>
          <w:p w:rsidR="008812CA" w:rsidRPr="0035756C" w:rsidRDefault="008812CA" w:rsidP="000031FA">
            <w:pPr>
              <w:spacing w:after="0"/>
              <w:contextualSpacing/>
            </w:pPr>
            <w:r w:rsidRPr="0035756C">
              <w:t xml:space="preserve">Wizualizacja karty kontowej podatnika. Poszczególnym kartom opłat z wymiaru muszą odpowiadać konta w module finansowo-księgowym. </w:t>
            </w:r>
          </w:p>
        </w:tc>
        <w:tc>
          <w:tcPr>
            <w:tcW w:w="1411" w:type="dxa"/>
          </w:tcPr>
          <w:p w:rsidR="008812CA" w:rsidRPr="0035756C" w:rsidRDefault="008812CA" w:rsidP="000031FA">
            <w:pPr>
              <w:spacing w:after="0"/>
              <w:contextualSpacing/>
            </w:pPr>
          </w:p>
        </w:tc>
      </w:tr>
      <w:tr w:rsidR="00CE03AA" w:rsidRPr="0035756C" w:rsidTr="008812CA">
        <w:tc>
          <w:tcPr>
            <w:tcW w:w="486" w:type="dxa"/>
          </w:tcPr>
          <w:p w:rsidR="00CE03AA" w:rsidRPr="0035756C" w:rsidRDefault="00CE03AA" w:rsidP="000031FA">
            <w:pPr>
              <w:spacing w:after="0"/>
              <w:contextualSpacing/>
            </w:pPr>
            <w:r>
              <w:t>2</w:t>
            </w:r>
          </w:p>
        </w:tc>
        <w:tc>
          <w:tcPr>
            <w:tcW w:w="7165" w:type="dxa"/>
            <w:vAlign w:val="center"/>
          </w:tcPr>
          <w:p w:rsidR="00CE03AA" w:rsidRPr="0035756C" w:rsidRDefault="00CE03AA" w:rsidP="000031FA">
            <w:pPr>
              <w:spacing w:after="0"/>
              <w:contextualSpacing/>
            </w:pPr>
            <w:r w:rsidRPr="0035756C">
              <w:t>Zapis operacji księgowych na kontach podatników z uwzględnieniem odpowiednich stron WINIEN, MA.</w:t>
            </w:r>
          </w:p>
        </w:tc>
        <w:tc>
          <w:tcPr>
            <w:tcW w:w="1411" w:type="dxa"/>
          </w:tcPr>
          <w:p w:rsidR="00CE03AA" w:rsidRPr="0035756C" w:rsidRDefault="00CE03AA" w:rsidP="000031FA">
            <w:pPr>
              <w:spacing w:after="0"/>
              <w:contextualSpacing/>
            </w:pPr>
          </w:p>
        </w:tc>
      </w:tr>
      <w:tr w:rsidR="00CE03AA" w:rsidRPr="0035756C" w:rsidTr="008812CA">
        <w:tc>
          <w:tcPr>
            <w:tcW w:w="486" w:type="dxa"/>
          </w:tcPr>
          <w:p w:rsidR="00CE03AA" w:rsidRPr="0035756C" w:rsidRDefault="00CE03AA" w:rsidP="000031FA">
            <w:pPr>
              <w:spacing w:after="0"/>
              <w:contextualSpacing/>
            </w:pPr>
            <w:r>
              <w:t>3</w:t>
            </w:r>
          </w:p>
        </w:tc>
        <w:tc>
          <w:tcPr>
            <w:tcW w:w="7165" w:type="dxa"/>
            <w:vAlign w:val="center"/>
          </w:tcPr>
          <w:p w:rsidR="00CE03AA" w:rsidRPr="0035756C" w:rsidRDefault="00CE03AA" w:rsidP="000031FA">
            <w:pPr>
              <w:spacing w:after="0"/>
              <w:contextualSpacing/>
            </w:pPr>
            <w:r w:rsidRPr="0035756C">
              <w:t>Wizualizacja danych na koncie w układzie paragrafów budżetowym.</w:t>
            </w:r>
          </w:p>
        </w:tc>
        <w:tc>
          <w:tcPr>
            <w:tcW w:w="1411" w:type="dxa"/>
          </w:tcPr>
          <w:p w:rsidR="00CE03AA" w:rsidRPr="0035756C" w:rsidRDefault="00CE03AA" w:rsidP="000031FA">
            <w:pPr>
              <w:spacing w:after="0"/>
              <w:contextualSpacing/>
            </w:pPr>
          </w:p>
        </w:tc>
      </w:tr>
      <w:tr w:rsidR="008812CA" w:rsidRPr="0035756C" w:rsidTr="008812CA">
        <w:tc>
          <w:tcPr>
            <w:tcW w:w="486" w:type="dxa"/>
          </w:tcPr>
          <w:p w:rsidR="008812CA" w:rsidRPr="0035756C" w:rsidRDefault="00CE03AA" w:rsidP="000031FA">
            <w:pPr>
              <w:spacing w:after="0"/>
              <w:contextualSpacing/>
            </w:pPr>
            <w:r>
              <w:t>4</w:t>
            </w:r>
          </w:p>
        </w:tc>
        <w:tc>
          <w:tcPr>
            <w:tcW w:w="7165" w:type="dxa"/>
            <w:vAlign w:val="center"/>
          </w:tcPr>
          <w:p w:rsidR="008812CA" w:rsidRPr="0035756C" w:rsidRDefault="008812CA" w:rsidP="000031FA">
            <w:pPr>
              <w:spacing w:after="0"/>
              <w:contextualSpacing/>
            </w:pPr>
            <w:r w:rsidRPr="0035756C">
              <w:t>Automatyczne zarejestrowanie wpłaty z modułu kasowego.</w:t>
            </w:r>
          </w:p>
        </w:tc>
        <w:tc>
          <w:tcPr>
            <w:tcW w:w="1411" w:type="dxa"/>
          </w:tcPr>
          <w:p w:rsidR="008812CA" w:rsidRPr="0035756C" w:rsidRDefault="008812CA" w:rsidP="000031FA">
            <w:pPr>
              <w:spacing w:after="0"/>
              <w:contextualSpacing/>
            </w:pPr>
          </w:p>
        </w:tc>
      </w:tr>
      <w:tr w:rsidR="008812CA" w:rsidRPr="0035756C" w:rsidTr="008812CA">
        <w:tc>
          <w:tcPr>
            <w:tcW w:w="486" w:type="dxa"/>
          </w:tcPr>
          <w:p w:rsidR="008812CA" w:rsidRPr="0035756C" w:rsidRDefault="00CE03AA" w:rsidP="000031FA">
            <w:pPr>
              <w:spacing w:after="0"/>
              <w:contextualSpacing/>
            </w:pPr>
            <w:r>
              <w:t>5</w:t>
            </w:r>
          </w:p>
        </w:tc>
        <w:tc>
          <w:tcPr>
            <w:tcW w:w="7165" w:type="dxa"/>
            <w:vAlign w:val="center"/>
          </w:tcPr>
          <w:p w:rsidR="008812CA" w:rsidRPr="0035756C" w:rsidRDefault="008812CA" w:rsidP="000031FA">
            <w:pPr>
              <w:spacing w:after="0"/>
              <w:contextualSpacing/>
            </w:pPr>
            <w:r w:rsidRPr="0035756C">
              <w:t>Automatyczne zarejestrowanie wpłat na podstawie elektronicznego wyciągu bankowego przy uruchomieniu indywidualnych rachunków bankowych w module wymiarowym.</w:t>
            </w:r>
          </w:p>
        </w:tc>
        <w:tc>
          <w:tcPr>
            <w:tcW w:w="1411" w:type="dxa"/>
          </w:tcPr>
          <w:p w:rsidR="008812CA" w:rsidRPr="0035756C" w:rsidRDefault="008812CA" w:rsidP="000031FA">
            <w:pPr>
              <w:spacing w:after="0"/>
              <w:contextualSpacing/>
            </w:pPr>
          </w:p>
        </w:tc>
      </w:tr>
      <w:tr w:rsidR="008812CA" w:rsidRPr="0035756C" w:rsidTr="008812CA">
        <w:tc>
          <w:tcPr>
            <w:tcW w:w="486" w:type="dxa"/>
          </w:tcPr>
          <w:p w:rsidR="008812CA" w:rsidRPr="0035756C" w:rsidRDefault="003068B1" w:rsidP="000031FA">
            <w:pPr>
              <w:spacing w:after="0"/>
              <w:contextualSpacing/>
            </w:pPr>
            <w:r>
              <w:t>6</w:t>
            </w:r>
          </w:p>
        </w:tc>
        <w:tc>
          <w:tcPr>
            <w:tcW w:w="7165" w:type="dxa"/>
            <w:vAlign w:val="center"/>
          </w:tcPr>
          <w:p w:rsidR="008812CA" w:rsidRPr="0035756C" w:rsidRDefault="008812CA" w:rsidP="000031FA">
            <w:pPr>
              <w:spacing w:after="0"/>
              <w:contextualSpacing/>
            </w:pPr>
            <w:r w:rsidRPr="0035756C">
              <w:t>Prezentacja grupowania zapisów księgowych (raport kasowy, wyciąg bankowy). Wszystkie te grupy muszą posiadać możliwość zbiorczego zaksięgowania i zablokowania możliwości dokonania zmian w obrębie tej pozycji.</w:t>
            </w:r>
          </w:p>
        </w:tc>
        <w:tc>
          <w:tcPr>
            <w:tcW w:w="1411" w:type="dxa"/>
          </w:tcPr>
          <w:p w:rsidR="008812CA" w:rsidRPr="0035756C" w:rsidRDefault="008812CA" w:rsidP="000031FA">
            <w:pPr>
              <w:spacing w:after="0"/>
              <w:contextualSpacing/>
            </w:pPr>
          </w:p>
        </w:tc>
      </w:tr>
      <w:tr w:rsidR="008812CA" w:rsidRPr="0035756C" w:rsidTr="008812CA">
        <w:tc>
          <w:tcPr>
            <w:tcW w:w="486" w:type="dxa"/>
          </w:tcPr>
          <w:p w:rsidR="008812CA" w:rsidRPr="0035756C" w:rsidRDefault="003068B1" w:rsidP="000031FA">
            <w:pPr>
              <w:spacing w:after="0"/>
              <w:contextualSpacing/>
            </w:pPr>
            <w:r>
              <w:t>7</w:t>
            </w:r>
          </w:p>
        </w:tc>
        <w:tc>
          <w:tcPr>
            <w:tcW w:w="7165" w:type="dxa"/>
            <w:vAlign w:val="center"/>
          </w:tcPr>
          <w:p w:rsidR="008812CA" w:rsidRPr="0035756C" w:rsidRDefault="008812CA" w:rsidP="000031FA">
            <w:pPr>
              <w:spacing w:after="0"/>
              <w:contextualSpacing/>
            </w:pPr>
            <w:r w:rsidRPr="0035756C">
              <w:t>Prezentacja współpracy z czytnikiem kodów kreskowych w zakresie identyfikacji podatnika i automatycznego wprowadzania dowodów wpłat sygnowanych kodami.</w:t>
            </w:r>
          </w:p>
        </w:tc>
        <w:tc>
          <w:tcPr>
            <w:tcW w:w="1411" w:type="dxa"/>
          </w:tcPr>
          <w:p w:rsidR="008812CA" w:rsidRPr="0035756C" w:rsidRDefault="008812CA" w:rsidP="000031FA">
            <w:pPr>
              <w:spacing w:after="0"/>
              <w:contextualSpacing/>
            </w:pPr>
          </w:p>
        </w:tc>
      </w:tr>
      <w:tr w:rsidR="008812CA" w:rsidRPr="0035756C" w:rsidTr="008812CA">
        <w:tc>
          <w:tcPr>
            <w:tcW w:w="486" w:type="dxa"/>
          </w:tcPr>
          <w:p w:rsidR="008812CA" w:rsidRPr="0035756C" w:rsidRDefault="003068B1" w:rsidP="000031FA">
            <w:pPr>
              <w:spacing w:after="0"/>
              <w:contextualSpacing/>
            </w:pPr>
            <w:r>
              <w:t>8</w:t>
            </w:r>
          </w:p>
        </w:tc>
        <w:tc>
          <w:tcPr>
            <w:tcW w:w="7165" w:type="dxa"/>
            <w:vAlign w:val="center"/>
          </w:tcPr>
          <w:p w:rsidR="008812CA" w:rsidRPr="0035756C" w:rsidRDefault="008812CA" w:rsidP="000031FA">
            <w:pPr>
              <w:spacing w:after="0"/>
              <w:contextualSpacing/>
            </w:pPr>
            <w:r w:rsidRPr="0035756C">
              <w:t>Zbiorcze przeksięgowanie nadpłat początkowych na należności bieżące z uwzględnieniem odpowiedniego zapisu na paragrafach budżetowych.</w:t>
            </w:r>
          </w:p>
        </w:tc>
        <w:tc>
          <w:tcPr>
            <w:tcW w:w="1411" w:type="dxa"/>
          </w:tcPr>
          <w:p w:rsidR="008812CA" w:rsidRPr="0035756C" w:rsidRDefault="008812CA" w:rsidP="000031FA">
            <w:pPr>
              <w:spacing w:after="0"/>
              <w:contextualSpacing/>
            </w:pPr>
          </w:p>
        </w:tc>
      </w:tr>
      <w:tr w:rsidR="008812CA" w:rsidRPr="0035756C" w:rsidTr="008812CA">
        <w:tc>
          <w:tcPr>
            <w:tcW w:w="486" w:type="dxa"/>
          </w:tcPr>
          <w:p w:rsidR="008812CA" w:rsidRPr="0035756C" w:rsidRDefault="003068B1" w:rsidP="000031FA">
            <w:pPr>
              <w:spacing w:after="0"/>
              <w:contextualSpacing/>
            </w:pPr>
            <w:r>
              <w:t>9</w:t>
            </w:r>
          </w:p>
        </w:tc>
        <w:tc>
          <w:tcPr>
            <w:tcW w:w="7165" w:type="dxa"/>
            <w:vAlign w:val="center"/>
          </w:tcPr>
          <w:p w:rsidR="008812CA" w:rsidRPr="0035756C" w:rsidRDefault="008812CA" w:rsidP="000031FA">
            <w:pPr>
              <w:spacing w:after="0"/>
              <w:contextualSpacing/>
            </w:pPr>
            <w:r w:rsidRPr="0035756C">
              <w:t>Prezentacja integracji z modułem finansowo-księgowym w zakresie przesyłania noty księgowej do modułu finansowo-księgowego.</w:t>
            </w:r>
          </w:p>
        </w:tc>
        <w:tc>
          <w:tcPr>
            <w:tcW w:w="1411" w:type="dxa"/>
          </w:tcPr>
          <w:p w:rsidR="008812CA" w:rsidRPr="0035756C" w:rsidRDefault="008812CA" w:rsidP="000031FA">
            <w:pPr>
              <w:spacing w:after="0"/>
              <w:contextualSpacing/>
            </w:pPr>
          </w:p>
        </w:tc>
      </w:tr>
    </w:tbl>
    <w:p w:rsidR="00D4227A" w:rsidRDefault="009D1EE0" w:rsidP="00CE03AA">
      <w:pPr>
        <w:pStyle w:val="Nagwek2"/>
        <w:numPr>
          <w:ilvl w:val="1"/>
          <w:numId w:val="1"/>
        </w:numPr>
        <w:spacing w:before="160"/>
      </w:pPr>
      <w:r>
        <w:t>Zintegrowany System Dziedzinowy - o</w:t>
      </w:r>
      <w:r w:rsidR="00D4227A" w:rsidRPr="00D4227A">
        <w:t>bsługa opłaty z tytułu gospodarowania odpadami komunalnymi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7403"/>
        <w:gridCol w:w="1309"/>
      </w:tblGrid>
      <w:tr w:rsidR="00D4227A" w:rsidRPr="00297161" w:rsidTr="00D4227A">
        <w:tc>
          <w:tcPr>
            <w:tcW w:w="562" w:type="dxa"/>
            <w:shd w:val="clear" w:color="auto" w:fill="D0CECE"/>
          </w:tcPr>
          <w:p w:rsidR="00D4227A" w:rsidRPr="00297161" w:rsidRDefault="00D4227A" w:rsidP="003C4AF6">
            <w:pPr>
              <w:spacing w:after="0"/>
              <w:contextualSpacing/>
              <w:rPr>
                <w:b/>
              </w:rPr>
            </w:pPr>
            <w:r>
              <w:rPr>
                <w:b/>
              </w:rPr>
              <w:t>Lp.</w:t>
            </w:r>
          </w:p>
        </w:tc>
        <w:tc>
          <w:tcPr>
            <w:tcW w:w="7223" w:type="dxa"/>
            <w:shd w:val="clear" w:color="auto" w:fill="D0CECE"/>
            <w:vAlign w:val="center"/>
          </w:tcPr>
          <w:p w:rsidR="00D4227A" w:rsidRPr="00297161" w:rsidRDefault="00D4227A" w:rsidP="003C4AF6">
            <w:pPr>
              <w:spacing w:after="0"/>
              <w:contextualSpacing/>
              <w:rPr>
                <w:b/>
              </w:rPr>
            </w:pPr>
            <w:r w:rsidRPr="00297161">
              <w:rPr>
                <w:b/>
              </w:rPr>
              <w:t>Zakres prezentacji</w:t>
            </w:r>
          </w:p>
        </w:tc>
        <w:tc>
          <w:tcPr>
            <w:tcW w:w="1277" w:type="dxa"/>
            <w:shd w:val="clear" w:color="auto" w:fill="D0CECE"/>
            <w:vAlign w:val="center"/>
          </w:tcPr>
          <w:p w:rsidR="00D4227A" w:rsidRPr="00297161" w:rsidRDefault="00D4227A" w:rsidP="003C4AF6">
            <w:pPr>
              <w:spacing w:after="0"/>
              <w:contextualSpacing/>
              <w:rPr>
                <w:b/>
              </w:rPr>
            </w:pPr>
            <w:r w:rsidRPr="00297161">
              <w:rPr>
                <w:b/>
              </w:rPr>
              <w:t>Wynik testu</w:t>
            </w:r>
          </w:p>
          <w:p w:rsidR="00D4227A" w:rsidRPr="00297161" w:rsidRDefault="00D4227A" w:rsidP="003C4AF6">
            <w:pPr>
              <w:spacing w:after="0"/>
              <w:contextualSpacing/>
              <w:rPr>
                <w:b/>
              </w:rPr>
            </w:pPr>
            <w:r w:rsidRPr="00297161">
              <w:rPr>
                <w:b/>
              </w:rPr>
              <w:t>spełnienie wymogów</w:t>
            </w:r>
          </w:p>
          <w:p w:rsidR="00D4227A" w:rsidRPr="00297161" w:rsidRDefault="00D4227A" w:rsidP="003C4AF6">
            <w:pPr>
              <w:spacing w:after="0"/>
              <w:contextualSpacing/>
              <w:rPr>
                <w:b/>
              </w:rPr>
            </w:pPr>
            <w:r w:rsidRPr="00297161">
              <w:rPr>
                <w:b/>
              </w:rPr>
              <w:t>TAK/NIE</w:t>
            </w:r>
          </w:p>
        </w:tc>
      </w:tr>
      <w:tr w:rsidR="00D4227A" w:rsidRPr="00297161" w:rsidTr="00D4227A">
        <w:tc>
          <w:tcPr>
            <w:tcW w:w="562" w:type="dxa"/>
          </w:tcPr>
          <w:p w:rsidR="00D4227A" w:rsidRPr="00297161" w:rsidRDefault="00D4227A" w:rsidP="003C4AF6">
            <w:pPr>
              <w:spacing w:after="0"/>
              <w:contextualSpacing/>
            </w:pPr>
            <w:r>
              <w:t>1</w:t>
            </w:r>
          </w:p>
        </w:tc>
        <w:tc>
          <w:tcPr>
            <w:tcW w:w="7223" w:type="dxa"/>
            <w:vAlign w:val="center"/>
          </w:tcPr>
          <w:p w:rsidR="00D4227A" w:rsidRPr="00297161" w:rsidRDefault="00D4227A" w:rsidP="003C4AF6">
            <w:pPr>
              <w:spacing w:after="0"/>
              <w:contextualSpacing/>
            </w:pPr>
            <w:r w:rsidRPr="00297161">
              <w:t>Założenie nowej kartoteki w systemie na podstawie elektronicznej deklaracji zgodnej z wymogami platformy ePUAP.</w:t>
            </w:r>
          </w:p>
        </w:tc>
        <w:tc>
          <w:tcPr>
            <w:tcW w:w="1277" w:type="dxa"/>
          </w:tcPr>
          <w:p w:rsidR="00D4227A" w:rsidRPr="00297161" w:rsidRDefault="00D4227A" w:rsidP="003C4AF6">
            <w:pPr>
              <w:spacing w:after="0"/>
              <w:contextualSpacing/>
            </w:pPr>
          </w:p>
        </w:tc>
      </w:tr>
      <w:tr w:rsidR="00D4227A" w:rsidRPr="00297161" w:rsidTr="00D4227A">
        <w:tc>
          <w:tcPr>
            <w:tcW w:w="562" w:type="dxa"/>
          </w:tcPr>
          <w:p w:rsidR="00D4227A" w:rsidRPr="00297161" w:rsidRDefault="00D4227A" w:rsidP="003C4AF6">
            <w:pPr>
              <w:spacing w:after="0"/>
              <w:contextualSpacing/>
            </w:pPr>
            <w:r>
              <w:t>2</w:t>
            </w:r>
          </w:p>
        </w:tc>
        <w:tc>
          <w:tcPr>
            <w:tcW w:w="7223" w:type="dxa"/>
            <w:vAlign w:val="center"/>
          </w:tcPr>
          <w:p w:rsidR="00D4227A" w:rsidRPr="00297161" w:rsidRDefault="00D4227A" w:rsidP="003C4AF6">
            <w:pPr>
              <w:spacing w:after="0"/>
              <w:contextualSpacing/>
            </w:pPr>
            <w:r w:rsidRPr="00297161">
              <w:t>Prezentacja kartoteki danych personalnych podatnika wspólnej z modułem podatkowym, kasowym i finansowo-księgowym.</w:t>
            </w:r>
          </w:p>
        </w:tc>
        <w:tc>
          <w:tcPr>
            <w:tcW w:w="1277" w:type="dxa"/>
          </w:tcPr>
          <w:p w:rsidR="00D4227A" w:rsidRPr="00297161" w:rsidRDefault="00D4227A" w:rsidP="003C4AF6">
            <w:pPr>
              <w:spacing w:after="0"/>
              <w:contextualSpacing/>
            </w:pPr>
          </w:p>
        </w:tc>
      </w:tr>
      <w:tr w:rsidR="00D4227A" w:rsidRPr="00297161" w:rsidTr="00D4227A">
        <w:tc>
          <w:tcPr>
            <w:tcW w:w="562" w:type="dxa"/>
          </w:tcPr>
          <w:p w:rsidR="00D4227A" w:rsidRPr="00297161" w:rsidRDefault="00D4227A" w:rsidP="003C4AF6">
            <w:pPr>
              <w:spacing w:after="0"/>
              <w:contextualSpacing/>
            </w:pPr>
            <w:r>
              <w:t>3</w:t>
            </w:r>
          </w:p>
        </w:tc>
        <w:tc>
          <w:tcPr>
            <w:tcW w:w="7223" w:type="dxa"/>
            <w:vAlign w:val="center"/>
          </w:tcPr>
          <w:p w:rsidR="00D4227A" w:rsidRPr="00297161" w:rsidRDefault="00D4227A" w:rsidP="003C4AF6">
            <w:pPr>
              <w:spacing w:after="0"/>
              <w:contextualSpacing/>
            </w:pPr>
            <w:r w:rsidRPr="00297161">
              <w:t>Prezentacja możliwości edycji formy i treści wydruku informacji o wysokości opłaty, decyzji ustalającej wysokość opłaty z wykorzystaniem indywidualnych rachunków bankowych oraz kodów kreskowych dla modułu kasowego.</w:t>
            </w:r>
          </w:p>
        </w:tc>
        <w:tc>
          <w:tcPr>
            <w:tcW w:w="1277" w:type="dxa"/>
          </w:tcPr>
          <w:p w:rsidR="00D4227A" w:rsidRPr="00297161" w:rsidRDefault="00D4227A" w:rsidP="003C4AF6">
            <w:pPr>
              <w:spacing w:after="0"/>
              <w:contextualSpacing/>
            </w:pPr>
          </w:p>
        </w:tc>
      </w:tr>
      <w:tr w:rsidR="00D4227A" w:rsidRPr="00297161" w:rsidTr="00D4227A">
        <w:tc>
          <w:tcPr>
            <w:tcW w:w="562" w:type="dxa"/>
          </w:tcPr>
          <w:p w:rsidR="00D4227A" w:rsidRPr="00297161" w:rsidRDefault="00D4227A" w:rsidP="003C4AF6">
            <w:pPr>
              <w:spacing w:after="0"/>
              <w:contextualSpacing/>
            </w:pPr>
            <w:r>
              <w:t>4</w:t>
            </w:r>
          </w:p>
        </w:tc>
        <w:tc>
          <w:tcPr>
            <w:tcW w:w="7223" w:type="dxa"/>
            <w:vAlign w:val="center"/>
          </w:tcPr>
          <w:p w:rsidR="00D4227A" w:rsidRPr="00297161" w:rsidRDefault="00D4227A" w:rsidP="003C4AF6">
            <w:pPr>
              <w:spacing w:after="0"/>
              <w:contextualSpacing/>
            </w:pPr>
            <w:r w:rsidRPr="00297161">
              <w:t>Prezentacja możliwości naliczania opłat z uwzględnieniem podziału na raty miesięczne, dwumiesięczne lub kwartalne w zależności od konfiguracji.</w:t>
            </w:r>
          </w:p>
        </w:tc>
        <w:tc>
          <w:tcPr>
            <w:tcW w:w="1277" w:type="dxa"/>
          </w:tcPr>
          <w:p w:rsidR="00D4227A" w:rsidRPr="00297161" w:rsidRDefault="00D4227A" w:rsidP="003C4AF6">
            <w:pPr>
              <w:spacing w:after="0"/>
              <w:contextualSpacing/>
            </w:pPr>
          </w:p>
        </w:tc>
      </w:tr>
    </w:tbl>
    <w:p w:rsidR="000031FA" w:rsidRPr="00323DEF" w:rsidRDefault="000031FA" w:rsidP="00860A48">
      <w:pPr>
        <w:pStyle w:val="Nagwek2"/>
        <w:numPr>
          <w:ilvl w:val="1"/>
          <w:numId w:val="1"/>
        </w:numPr>
        <w:spacing w:before="160"/>
      </w:pPr>
      <w:r>
        <w:lastRenderedPageBreak/>
        <w:t>Zintegrowany System Dziedzinowy – obsługa finansowo- k</w:t>
      </w:r>
      <w:r w:rsidRPr="008812CA">
        <w:t>sięgowa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7109"/>
        <w:gridCol w:w="1412"/>
      </w:tblGrid>
      <w:tr w:rsidR="008812CA" w:rsidRPr="0035756C" w:rsidTr="00427970">
        <w:tc>
          <w:tcPr>
            <w:tcW w:w="541" w:type="dxa"/>
            <w:shd w:val="clear" w:color="auto" w:fill="D0CECE"/>
            <w:vAlign w:val="center"/>
          </w:tcPr>
          <w:p w:rsidR="008812CA" w:rsidRPr="0035756C" w:rsidRDefault="008812CA" w:rsidP="00124332">
            <w:pPr>
              <w:spacing w:after="0"/>
              <w:contextualSpacing/>
              <w:rPr>
                <w:b/>
              </w:rPr>
            </w:pPr>
            <w:r w:rsidRPr="0035756C">
              <w:rPr>
                <w:b/>
              </w:rPr>
              <w:t>Lp.</w:t>
            </w:r>
          </w:p>
        </w:tc>
        <w:tc>
          <w:tcPr>
            <w:tcW w:w="7109" w:type="dxa"/>
            <w:shd w:val="clear" w:color="auto" w:fill="D0CECE"/>
            <w:vAlign w:val="center"/>
          </w:tcPr>
          <w:p w:rsidR="008812CA" w:rsidRPr="0035756C" w:rsidRDefault="008812CA" w:rsidP="00124332">
            <w:pPr>
              <w:spacing w:after="0"/>
              <w:contextualSpacing/>
              <w:rPr>
                <w:b/>
              </w:rPr>
            </w:pPr>
            <w:r w:rsidRPr="0035756C">
              <w:rPr>
                <w:b/>
              </w:rPr>
              <w:t>Zakres prezentacji</w:t>
            </w:r>
          </w:p>
        </w:tc>
        <w:tc>
          <w:tcPr>
            <w:tcW w:w="1412" w:type="dxa"/>
            <w:shd w:val="clear" w:color="auto" w:fill="D0CECE"/>
            <w:vAlign w:val="center"/>
          </w:tcPr>
          <w:p w:rsidR="008812CA" w:rsidRPr="0035756C" w:rsidRDefault="008812CA" w:rsidP="00124332">
            <w:pPr>
              <w:spacing w:after="0"/>
              <w:contextualSpacing/>
              <w:rPr>
                <w:b/>
              </w:rPr>
            </w:pPr>
            <w:r w:rsidRPr="0035756C">
              <w:rPr>
                <w:b/>
              </w:rPr>
              <w:t>Wynik testu</w:t>
            </w:r>
          </w:p>
          <w:p w:rsidR="008812CA" w:rsidRPr="0035756C" w:rsidRDefault="008812CA" w:rsidP="00124332">
            <w:pPr>
              <w:spacing w:after="0"/>
              <w:contextualSpacing/>
              <w:rPr>
                <w:b/>
              </w:rPr>
            </w:pPr>
            <w:r w:rsidRPr="0035756C">
              <w:rPr>
                <w:b/>
              </w:rPr>
              <w:t>spełnienie wymogów</w:t>
            </w:r>
          </w:p>
          <w:p w:rsidR="008812CA" w:rsidRPr="0035756C" w:rsidRDefault="008812CA" w:rsidP="00124332">
            <w:pPr>
              <w:spacing w:after="0"/>
              <w:contextualSpacing/>
              <w:rPr>
                <w:b/>
              </w:rPr>
            </w:pPr>
            <w:r w:rsidRPr="0035756C">
              <w:rPr>
                <w:b/>
              </w:rPr>
              <w:t>TAK/NIE</w:t>
            </w:r>
          </w:p>
        </w:tc>
      </w:tr>
      <w:tr w:rsidR="008812CA" w:rsidRPr="0035756C" w:rsidTr="00427970">
        <w:tc>
          <w:tcPr>
            <w:tcW w:w="541" w:type="dxa"/>
          </w:tcPr>
          <w:p w:rsidR="008812CA" w:rsidRPr="0035756C" w:rsidRDefault="008812CA" w:rsidP="00124332">
            <w:pPr>
              <w:spacing w:after="0"/>
              <w:contextualSpacing/>
            </w:pPr>
            <w:r w:rsidRPr="0035756C">
              <w:t>1</w:t>
            </w:r>
          </w:p>
        </w:tc>
        <w:tc>
          <w:tcPr>
            <w:tcW w:w="7109" w:type="dxa"/>
            <w:vAlign w:val="center"/>
          </w:tcPr>
          <w:p w:rsidR="008812CA" w:rsidRPr="0035756C" w:rsidRDefault="008812CA" w:rsidP="00124332">
            <w:pPr>
              <w:spacing w:after="0"/>
              <w:contextualSpacing/>
            </w:pPr>
            <w:r w:rsidRPr="0035756C">
              <w:t>Dekretacja dokumentu kosztowego poprzez mechanizm podzielnika (10%/20%/30%/40%) wskazanie konta kosztowego Wn-401 oraz konta kontrahenta Ma-201 oraz czterech klasyfikacji które będą odzwierciedlały testowany model podziału, automatyczne wygenerowanie czterech dekretacji kosztowych oraz dekretacji pozabilansowych – Ma-998 zaangażowanie środków RB. Prezentacja wyniku dekretacji:</w:t>
            </w:r>
          </w:p>
          <w:p w:rsidR="008812CA" w:rsidRPr="0035756C" w:rsidRDefault="008812CA" w:rsidP="00124332">
            <w:pPr>
              <w:pStyle w:val="Akapitzlist"/>
              <w:numPr>
                <w:ilvl w:val="0"/>
                <w:numId w:val="45"/>
              </w:numPr>
              <w:spacing w:after="0"/>
              <w:ind w:left="475"/>
            </w:pPr>
            <w:r w:rsidRPr="0035756C">
              <w:t>kwot na kontach planu kont oraz klasyfikacji budżetowej (koszty i zaangażowanie RB);</w:t>
            </w:r>
          </w:p>
          <w:p w:rsidR="008812CA" w:rsidRPr="0035756C" w:rsidRDefault="008812CA" w:rsidP="00124332">
            <w:pPr>
              <w:pStyle w:val="Akapitzlist"/>
              <w:numPr>
                <w:ilvl w:val="0"/>
                <w:numId w:val="45"/>
              </w:numPr>
              <w:spacing w:after="0"/>
              <w:ind w:left="475"/>
            </w:pPr>
            <w:r w:rsidRPr="0035756C">
              <w:t>kwoty na rozrachunkach jako zestawienie danych w układzie grupowania wg kontrahenta, konta i klasyfikacji budżetowych;</w:t>
            </w:r>
          </w:p>
          <w:p w:rsidR="008812CA" w:rsidRPr="0035756C" w:rsidRDefault="008812CA" w:rsidP="00124332">
            <w:pPr>
              <w:pStyle w:val="Akapitzlist"/>
              <w:numPr>
                <w:ilvl w:val="0"/>
                <w:numId w:val="45"/>
              </w:numPr>
              <w:spacing w:after="0"/>
              <w:ind w:left="475"/>
            </w:pPr>
            <w:r w:rsidRPr="0035756C">
              <w:t>kwoty na sprawozdaniu RB-28S w układzie, gdy kwoty rozrachunków mają status wymagalnych oraz wartość zaangażowania.</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8812CA" w:rsidP="00124332">
            <w:pPr>
              <w:spacing w:after="0"/>
              <w:contextualSpacing/>
            </w:pPr>
            <w:r w:rsidRPr="0035756C">
              <w:t>2</w:t>
            </w:r>
          </w:p>
        </w:tc>
        <w:tc>
          <w:tcPr>
            <w:tcW w:w="7109" w:type="dxa"/>
            <w:vAlign w:val="center"/>
          </w:tcPr>
          <w:p w:rsidR="008812CA" w:rsidRPr="0035756C" w:rsidRDefault="008812CA" w:rsidP="00124332">
            <w:pPr>
              <w:spacing w:after="0"/>
              <w:contextualSpacing/>
            </w:pPr>
            <w:r w:rsidRPr="0035756C">
              <w:t>Dekretacja pozycji wyciągu bankowego - konto Ma-130 (rozliczenie wcześniej naliczonych zobowiązań) poprzez zastosowanie mechanizmu rozliczającego kwoty zobowiązań wobec kontrahenta Wn-201.</w:t>
            </w:r>
          </w:p>
          <w:p w:rsidR="008812CA" w:rsidRPr="0035756C" w:rsidRDefault="008812CA" w:rsidP="00124332">
            <w:pPr>
              <w:spacing w:after="0"/>
              <w:contextualSpacing/>
            </w:pPr>
            <w:r w:rsidRPr="0035756C">
              <w:t>Wprowadzenie kwoty przelewu i rozrachunków które rozlicza. Automatyczne wygenerowanie dekretów wydatkowych oraz dekretacji pozabilansowych – Ma-980 realizacja planu WB; Wn-998 realizacja zaangażowania RB. Automatyczne rozliczenie rozrachunków.</w:t>
            </w:r>
          </w:p>
          <w:p w:rsidR="008812CA" w:rsidRPr="0035756C" w:rsidRDefault="008812CA" w:rsidP="00124332">
            <w:pPr>
              <w:spacing w:after="0"/>
              <w:contextualSpacing/>
            </w:pPr>
            <w:r w:rsidRPr="0035756C">
              <w:t>Prezentacja wyniku dekretacji:</w:t>
            </w:r>
          </w:p>
          <w:p w:rsidR="008812CA" w:rsidRPr="0035756C" w:rsidRDefault="008812CA" w:rsidP="00124332">
            <w:pPr>
              <w:pStyle w:val="Akapitzlist"/>
              <w:numPr>
                <w:ilvl w:val="0"/>
                <w:numId w:val="45"/>
              </w:numPr>
              <w:spacing w:after="0"/>
              <w:ind w:left="475"/>
            </w:pPr>
            <w:r w:rsidRPr="0035756C">
              <w:t>kwot na kontach planu kont oraz klasyfikacji budżetowej (wydatki, realizacja planu WB, realizacja zaangażowania RB);</w:t>
            </w:r>
          </w:p>
          <w:p w:rsidR="008812CA" w:rsidRPr="0035756C" w:rsidRDefault="008812CA" w:rsidP="00124332">
            <w:pPr>
              <w:pStyle w:val="Akapitzlist"/>
              <w:numPr>
                <w:ilvl w:val="0"/>
                <w:numId w:val="45"/>
              </w:numPr>
              <w:spacing w:after="0"/>
              <w:ind w:left="475"/>
            </w:pPr>
            <w:r w:rsidRPr="0035756C">
              <w:t>kwoty na rozrachunkach jako zestawienie danych w układzie grupowania wg kontrahenta, konta i klasyfikacji budżetowych;</w:t>
            </w:r>
          </w:p>
          <w:p w:rsidR="008812CA" w:rsidRPr="0035756C" w:rsidRDefault="008812CA" w:rsidP="00124332">
            <w:pPr>
              <w:pStyle w:val="Akapitzlist"/>
              <w:numPr>
                <w:ilvl w:val="0"/>
                <w:numId w:val="45"/>
              </w:numPr>
              <w:spacing w:after="0"/>
              <w:ind w:left="475"/>
            </w:pPr>
            <w:r w:rsidRPr="0035756C">
              <w:t>kwoty na sprawozdaniu RB-28S: wartość wydatków i zaangażowania RB.</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BB67CD" w:rsidP="00124332">
            <w:pPr>
              <w:spacing w:after="0"/>
              <w:contextualSpacing/>
            </w:pPr>
            <w:r>
              <w:t>3</w:t>
            </w:r>
          </w:p>
        </w:tc>
        <w:tc>
          <w:tcPr>
            <w:tcW w:w="7109" w:type="dxa"/>
            <w:vAlign w:val="center"/>
          </w:tcPr>
          <w:p w:rsidR="008812CA" w:rsidRPr="0035756C" w:rsidRDefault="008812CA" w:rsidP="00124332">
            <w:pPr>
              <w:spacing w:after="0"/>
              <w:contextualSpacing/>
            </w:pPr>
            <w:r w:rsidRPr="0035756C">
              <w:t>Spójna prezentacja stanu realizacji budżetu, stan na wybrany miesiąc z możliwością zmiany okresu (w układzie tabeli danych) w zakresie:</w:t>
            </w:r>
          </w:p>
          <w:p w:rsidR="008812CA" w:rsidRPr="0035756C" w:rsidRDefault="008812CA" w:rsidP="00124332">
            <w:pPr>
              <w:spacing w:after="0"/>
              <w:contextualSpacing/>
            </w:pPr>
            <w:r w:rsidRPr="0035756C">
              <w:t>Wydatki: plan, wydatki narastająco, różnica plan do wydatków, realizacja miesięczna (za bieżący miesiąc), % wydatków do planu, koszty narastająco, koszty miesięczne (za wybrany miesiąc), % kosztów do planu, zaangażowanie RB narastająco, zaangażowanie RB miesięcznie (za bieżący miesiąc), % zaangażowania do planu, realizacja planu WB, realizacja zaangażowania RB;</w:t>
            </w:r>
          </w:p>
          <w:p w:rsidR="00124332" w:rsidRDefault="008812CA" w:rsidP="00124332">
            <w:pPr>
              <w:spacing w:after="0"/>
              <w:contextualSpacing/>
            </w:pPr>
            <w:r w:rsidRPr="0035756C">
              <w:t>Dochody: plan, dochody narastająco, różnica plan do dochodów, realizacja miesięczna (za bieżący miesiąc), % dochodów do planu, należności narastająco, przypis narastająco, odpis narastająco</w:t>
            </w:r>
            <w:r w:rsidR="00124332">
              <w:t>.</w:t>
            </w:r>
          </w:p>
          <w:p w:rsidR="008812CA" w:rsidRPr="0035756C" w:rsidRDefault="008812CA" w:rsidP="00124332">
            <w:pPr>
              <w:spacing w:after="0"/>
              <w:contextualSpacing/>
            </w:pPr>
            <w:r w:rsidRPr="0035756C">
              <w:t xml:space="preserve">Prezentowane dane zgromadzone w formie drzewa danych z możliwością wyodrębnienie co najmniej takich obszarów jak: dział, rozdział, paragraf, </w:t>
            </w:r>
            <w:r w:rsidRPr="0035756C">
              <w:lastRenderedPageBreak/>
              <w:t>analityka paragrafu</w:t>
            </w:r>
            <w:r w:rsidR="00124332">
              <w:t>.</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BB67CD" w:rsidP="00124332">
            <w:pPr>
              <w:spacing w:after="0"/>
              <w:contextualSpacing/>
            </w:pPr>
            <w:r>
              <w:lastRenderedPageBreak/>
              <w:t>4</w:t>
            </w:r>
          </w:p>
        </w:tc>
        <w:tc>
          <w:tcPr>
            <w:tcW w:w="7109" w:type="dxa"/>
            <w:vAlign w:val="center"/>
          </w:tcPr>
          <w:p w:rsidR="00124332" w:rsidRDefault="008812CA" w:rsidP="00124332">
            <w:pPr>
              <w:spacing w:after="0"/>
              <w:contextualSpacing/>
            </w:pPr>
            <w:r w:rsidRPr="0035756C">
              <w:t xml:space="preserve">Prezentacja mechanizmów określających sposób naliczania sprawozdania </w:t>
            </w:r>
            <w:proofErr w:type="spellStart"/>
            <w:r w:rsidRPr="0035756C">
              <w:t>Rb-N</w:t>
            </w:r>
            <w:proofErr w:type="spellEnd"/>
            <w:r w:rsidRPr="0035756C">
              <w:t xml:space="preserve"> na przykładzie wybranego konta. </w:t>
            </w:r>
          </w:p>
          <w:p w:rsidR="008812CA" w:rsidRPr="0035756C" w:rsidRDefault="008812CA" w:rsidP="00124332">
            <w:pPr>
              <w:spacing w:after="0"/>
              <w:contextualSpacing/>
            </w:pPr>
            <w:r w:rsidRPr="0035756C">
              <w:t>Wprowadzenie definicji dla konta 130 określającej przynależność do grupy „banki” oraz wiersza sprawozdania „N3.2 depozyty na żądanie” przyporządkowanie do wskazanej komórki Salda Wn wynikającego z zapisów na koncie.</w:t>
            </w:r>
          </w:p>
          <w:p w:rsidR="008812CA" w:rsidRPr="0035756C" w:rsidRDefault="008812CA" w:rsidP="00124332">
            <w:pPr>
              <w:spacing w:after="0"/>
              <w:contextualSpacing/>
            </w:pPr>
            <w:r w:rsidRPr="0035756C">
              <w:t xml:space="preserve">Prezentacja tak zdefiniowanych danych na sprawozdaniu </w:t>
            </w:r>
            <w:proofErr w:type="spellStart"/>
            <w:r w:rsidRPr="0035756C">
              <w:t>Rb-N</w:t>
            </w:r>
            <w:proofErr w:type="spellEnd"/>
            <w:r w:rsidRPr="0035756C">
              <w:t xml:space="preserve">. </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BB67CD" w:rsidP="00124332">
            <w:pPr>
              <w:spacing w:after="0"/>
              <w:contextualSpacing/>
            </w:pPr>
            <w:r>
              <w:t>5</w:t>
            </w:r>
          </w:p>
        </w:tc>
        <w:tc>
          <w:tcPr>
            <w:tcW w:w="7109" w:type="dxa"/>
            <w:vAlign w:val="center"/>
          </w:tcPr>
          <w:p w:rsidR="008812CA" w:rsidRPr="0035756C" w:rsidRDefault="008812CA" w:rsidP="00124332">
            <w:pPr>
              <w:spacing w:after="0"/>
              <w:contextualSpacing/>
            </w:pPr>
            <w:r w:rsidRPr="0035756C">
              <w:t>Wprowadzenie dokumentu zakupu (faktury) w systemie finansowo – księgowym.</w:t>
            </w:r>
          </w:p>
          <w:p w:rsidR="008812CA" w:rsidRPr="0035756C" w:rsidRDefault="008812CA" w:rsidP="00124332">
            <w:pPr>
              <w:spacing w:after="0"/>
              <w:contextualSpacing/>
            </w:pPr>
            <w:r w:rsidRPr="0035756C">
              <w:t>Wykonanie dekretacji kosztowej dokumentu (alternatywnie pokazać możliwość automatycznego przekazania do centralnego rejestru VAT).</w:t>
            </w:r>
          </w:p>
          <w:p w:rsidR="008812CA" w:rsidRPr="0035756C" w:rsidRDefault="008812CA" w:rsidP="00124332">
            <w:pPr>
              <w:spacing w:after="0"/>
              <w:contextualSpacing/>
            </w:pPr>
            <w:r w:rsidRPr="0035756C">
              <w:t>Przygotowanie przelewu elektronicznego (format elixir-0) bazując na w/w danych – dane zapisać do pliku.</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BB67CD" w:rsidP="00124332">
            <w:pPr>
              <w:spacing w:after="0"/>
              <w:contextualSpacing/>
            </w:pPr>
            <w:r>
              <w:t>6</w:t>
            </w:r>
          </w:p>
        </w:tc>
        <w:tc>
          <w:tcPr>
            <w:tcW w:w="7109" w:type="dxa"/>
            <w:vAlign w:val="center"/>
          </w:tcPr>
          <w:p w:rsidR="008812CA" w:rsidRPr="0035756C" w:rsidRDefault="008812CA" w:rsidP="00124332">
            <w:pPr>
              <w:spacing w:after="0"/>
              <w:contextualSpacing/>
            </w:pPr>
            <w:r w:rsidRPr="0035756C">
              <w:t>Naliczenie odsetek od należności zapłaconych oraz nierozliczonych wg stanu na wybrany dzień, dekretacja naliczeń.</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BB67CD" w:rsidP="00124332">
            <w:pPr>
              <w:spacing w:after="0"/>
              <w:contextualSpacing/>
            </w:pPr>
            <w:r>
              <w:t>7</w:t>
            </w:r>
          </w:p>
        </w:tc>
        <w:tc>
          <w:tcPr>
            <w:tcW w:w="7109" w:type="dxa"/>
            <w:vAlign w:val="center"/>
          </w:tcPr>
          <w:p w:rsidR="008812CA" w:rsidRPr="0035756C" w:rsidRDefault="008812CA" w:rsidP="00124332">
            <w:pPr>
              <w:spacing w:after="0"/>
              <w:contextualSpacing/>
            </w:pPr>
            <w:r w:rsidRPr="0035756C">
              <w:t xml:space="preserve">Zdefiniowanie nowej grupy opłat – np. wieczyste użytkowanie, określenie parametrów globalnych określających cykliczność oraz termin płatności, zdefiniowanie schematów księgowych określających sposób z dekretacji naliczeń zgodnie z podziałem: </w:t>
            </w:r>
          </w:p>
          <w:p w:rsidR="008812CA" w:rsidRPr="0035756C" w:rsidRDefault="008812CA" w:rsidP="00124332">
            <w:pPr>
              <w:pStyle w:val="Akapitzlist"/>
              <w:numPr>
                <w:ilvl w:val="0"/>
                <w:numId w:val="46"/>
              </w:numPr>
              <w:spacing w:after="0"/>
              <w:ind w:left="475"/>
            </w:pPr>
            <w:r w:rsidRPr="0035756C">
              <w:t>opłata bez VAT (konto Wn 221/ konto Ma720),</w:t>
            </w:r>
          </w:p>
          <w:p w:rsidR="008812CA" w:rsidRPr="0035756C" w:rsidRDefault="008812CA" w:rsidP="00124332">
            <w:pPr>
              <w:pStyle w:val="Akapitzlist"/>
              <w:numPr>
                <w:ilvl w:val="0"/>
                <w:numId w:val="46"/>
              </w:numPr>
              <w:spacing w:after="0"/>
              <w:ind w:left="475"/>
            </w:pPr>
            <w:r w:rsidRPr="0035756C">
              <w:t>opata z VAT (konto Wn 221 / konto Ma 720 – kwota netto; konto Wn221 / konto Ma 225 – kwota VAT).</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BB67CD" w:rsidP="00124332">
            <w:pPr>
              <w:spacing w:after="0"/>
              <w:contextualSpacing/>
            </w:pPr>
            <w:r>
              <w:t>8</w:t>
            </w:r>
          </w:p>
        </w:tc>
        <w:tc>
          <w:tcPr>
            <w:tcW w:w="7109" w:type="dxa"/>
            <w:vAlign w:val="center"/>
          </w:tcPr>
          <w:p w:rsidR="008812CA" w:rsidRPr="0035756C" w:rsidRDefault="008812CA" w:rsidP="00124332">
            <w:pPr>
              <w:spacing w:after="0"/>
              <w:contextualSpacing/>
            </w:pPr>
            <w:r w:rsidRPr="0035756C">
              <w:t>Założenie kartoteki opłaty – wieczyste użytkowanie, wygenerowanie powiązanego konta księgowego (zakładowy plan kont – moduł finansowo – księgowy) dla zdefiniowanej syntetyki (np. 221-03).1</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507DF5" w:rsidP="00124332">
            <w:pPr>
              <w:spacing w:after="0"/>
              <w:contextualSpacing/>
            </w:pPr>
            <w:r>
              <w:t>9</w:t>
            </w:r>
          </w:p>
        </w:tc>
        <w:tc>
          <w:tcPr>
            <w:tcW w:w="7109" w:type="dxa"/>
            <w:vAlign w:val="center"/>
          </w:tcPr>
          <w:p w:rsidR="008812CA" w:rsidRPr="0035756C" w:rsidRDefault="008812CA" w:rsidP="00124332">
            <w:pPr>
              <w:spacing w:after="0"/>
              <w:contextualSpacing/>
            </w:pPr>
            <w:r w:rsidRPr="0035756C">
              <w:t>Naliczanie opłaty rocznej (z podatkiem VAT lub bez) zgodnie ze zdefiniowanymi parametrami kartoteki: powierzchnia, udział, % opłaty, stawka, bonifikata zgodnie ze wzorem:</w:t>
            </w:r>
          </w:p>
          <w:p w:rsidR="008812CA" w:rsidRPr="0035756C" w:rsidRDefault="008812CA" w:rsidP="00124332">
            <w:pPr>
              <w:spacing w:after="0"/>
              <w:contextualSpacing/>
            </w:pPr>
            <w:r w:rsidRPr="0035756C">
              <w:t>Stawka za metr * (powierzchnia * udział) * %opłaty) – bonifikata.</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507DF5" w:rsidP="00124332">
            <w:pPr>
              <w:spacing w:after="0"/>
              <w:contextualSpacing/>
            </w:pPr>
            <w:r>
              <w:t>10</w:t>
            </w:r>
          </w:p>
        </w:tc>
        <w:tc>
          <w:tcPr>
            <w:tcW w:w="7109" w:type="dxa"/>
            <w:vAlign w:val="center"/>
          </w:tcPr>
          <w:p w:rsidR="008812CA" w:rsidRPr="0035756C" w:rsidRDefault="008812CA" w:rsidP="00124332">
            <w:pPr>
              <w:spacing w:after="0"/>
              <w:contextualSpacing/>
            </w:pPr>
            <w:r w:rsidRPr="0035756C">
              <w:t>Wystawienie faktury do wykonanego naliczenia z automatycznym umieszczeniem jej w centralnym rejestrze sprzedaży modułu finansowo- księgowego.</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8812CA" w:rsidP="00124332">
            <w:pPr>
              <w:spacing w:after="0"/>
              <w:contextualSpacing/>
            </w:pPr>
            <w:r w:rsidRPr="0035756C">
              <w:t>1</w:t>
            </w:r>
            <w:r w:rsidR="00507DF5">
              <w:t>1</w:t>
            </w:r>
          </w:p>
        </w:tc>
        <w:tc>
          <w:tcPr>
            <w:tcW w:w="7109" w:type="dxa"/>
            <w:vAlign w:val="center"/>
          </w:tcPr>
          <w:p w:rsidR="008812CA" w:rsidRPr="0035756C" w:rsidRDefault="008812CA" w:rsidP="00124332">
            <w:pPr>
              <w:spacing w:after="0"/>
              <w:contextualSpacing/>
            </w:pPr>
            <w:r w:rsidRPr="0035756C">
              <w:t>Modyfikacja ręczna opisu faktury dla wybranego naliczenia, wydruk tak zmodyfikowanej treści z poziomu kartoteki opłaty.</w:t>
            </w:r>
          </w:p>
        </w:tc>
        <w:tc>
          <w:tcPr>
            <w:tcW w:w="1412" w:type="dxa"/>
          </w:tcPr>
          <w:p w:rsidR="008812CA" w:rsidRPr="0035756C" w:rsidRDefault="008812CA" w:rsidP="00124332">
            <w:pPr>
              <w:spacing w:after="0"/>
              <w:contextualSpacing/>
            </w:pPr>
          </w:p>
        </w:tc>
      </w:tr>
      <w:tr w:rsidR="008812CA" w:rsidRPr="0035756C" w:rsidTr="00427970">
        <w:tc>
          <w:tcPr>
            <w:tcW w:w="541" w:type="dxa"/>
          </w:tcPr>
          <w:p w:rsidR="008812CA" w:rsidRPr="0035756C" w:rsidRDefault="008812CA" w:rsidP="00124332">
            <w:pPr>
              <w:spacing w:after="0"/>
              <w:contextualSpacing/>
            </w:pPr>
            <w:r w:rsidRPr="0035756C">
              <w:t>1</w:t>
            </w:r>
            <w:r w:rsidR="00507DF5">
              <w:t>2</w:t>
            </w:r>
          </w:p>
        </w:tc>
        <w:tc>
          <w:tcPr>
            <w:tcW w:w="7109" w:type="dxa"/>
            <w:vAlign w:val="center"/>
          </w:tcPr>
          <w:p w:rsidR="008812CA" w:rsidRPr="0035756C" w:rsidRDefault="008812CA" w:rsidP="00124332">
            <w:pPr>
              <w:spacing w:after="0"/>
              <w:contextualSpacing/>
            </w:pPr>
            <w:r w:rsidRPr="0035756C">
              <w:t>Wykonanie dekretacji naliczonych opłat przy użyciu wcześniej zdefiniowanych schematów księgowych: dla opłaty bez podatku VAT i z podatkiem VAT.</w:t>
            </w:r>
          </w:p>
        </w:tc>
        <w:tc>
          <w:tcPr>
            <w:tcW w:w="1412" w:type="dxa"/>
          </w:tcPr>
          <w:p w:rsidR="008812CA" w:rsidRPr="0035756C" w:rsidRDefault="008812CA" w:rsidP="00124332">
            <w:pPr>
              <w:spacing w:after="0"/>
              <w:contextualSpacing/>
            </w:pPr>
          </w:p>
        </w:tc>
      </w:tr>
    </w:tbl>
    <w:p w:rsidR="00507DF5" w:rsidRDefault="00507DF5" w:rsidP="00507DF5"/>
    <w:p w:rsidR="009D1EE0" w:rsidRDefault="009D1EE0" w:rsidP="009D1EE0">
      <w:pPr>
        <w:pStyle w:val="Nagwek2"/>
        <w:numPr>
          <w:ilvl w:val="1"/>
          <w:numId w:val="1"/>
        </w:numPr>
        <w:spacing w:before="160"/>
      </w:pPr>
      <w:r w:rsidRPr="002240BA">
        <w:t>Zintegrowan</w:t>
      </w:r>
      <w:r>
        <w:t>y</w:t>
      </w:r>
      <w:r w:rsidRPr="002240BA">
        <w:t xml:space="preserve"> System Dziedzinow</w:t>
      </w:r>
      <w:r>
        <w:t>y - obsługa</w:t>
      </w:r>
      <w:r w:rsidRPr="002240BA">
        <w:t xml:space="preserve"> zwrotu podatku akcyzowego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101"/>
        <w:gridCol w:w="1399"/>
      </w:tblGrid>
      <w:tr w:rsidR="009D1EE0" w:rsidRPr="00A25088" w:rsidTr="00B30E59">
        <w:tc>
          <w:tcPr>
            <w:tcW w:w="562" w:type="dxa"/>
            <w:shd w:val="clear" w:color="auto" w:fill="D0CECE"/>
            <w:vAlign w:val="center"/>
          </w:tcPr>
          <w:p w:rsidR="009D1EE0" w:rsidRPr="00A25088" w:rsidRDefault="009D1EE0" w:rsidP="00B30E59">
            <w:pPr>
              <w:spacing w:before="0" w:after="0"/>
              <w:rPr>
                <w:b/>
              </w:rPr>
            </w:pPr>
            <w:r w:rsidRPr="00A25088">
              <w:rPr>
                <w:b/>
              </w:rPr>
              <w:t>Lp.</w:t>
            </w:r>
          </w:p>
        </w:tc>
        <w:tc>
          <w:tcPr>
            <w:tcW w:w="7101" w:type="dxa"/>
            <w:shd w:val="clear" w:color="auto" w:fill="D0CECE"/>
            <w:vAlign w:val="center"/>
          </w:tcPr>
          <w:p w:rsidR="009D1EE0" w:rsidRPr="00A25088" w:rsidRDefault="009D1EE0" w:rsidP="00B30E59">
            <w:pPr>
              <w:spacing w:before="0" w:after="0"/>
              <w:rPr>
                <w:b/>
              </w:rPr>
            </w:pPr>
            <w:r w:rsidRPr="00A25088">
              <w:rPr>
                <w:b/>
              </w:rPr>
              <w:t>Zakres prezentacji</w:t>
            </w:r>
          </w:p>
        </w:tc>
        <w:tc>
          <w:tcPr>
            <w:tcW w:w="1399" w:type="dxa"/>
            <w:shd w:val="clear" w:color="auto" w:fill="D0CECE"/>
            <w:vAlign w:val="center"/>
          </w:tcPr>
          <w:p w:rsidR="009D1EE0" w:rsidRPr="00A25088" w:rsidRDefault="009D1EE0" w:rsidP="00B30E59">
            <w:pPr>
              <w:spacing w:before="0" w:after="0"/>
              <w:rPr>
                <w:b/>
              </w:rPr>
            </w:pPr>
            <w:r w:rsidRPr="00A25088">
              <w:rPr>
                <w:b/>
              </w:rPr>
              <w:t>Wynik testu</w:t>
            </w:r>
          </w:p>
          <w:p w:rsidR="009D1EE0" w:rsidRPr="00A25088" w:rsidRDefault="009D1EE0" w:rsidP="00B30E59">
            <w:pPr>
              <w:spacing w:before="0" w:after="0"/>
              <w:rPr>
                <w:b/>
              </w:rPr>
            </w:pPr>
            <w:r w:rsidRPr="00A25088">
              <w:rPr>
                <w:b/>
              </w:rPr>
              <w:t xml:space="preserve">spełnienie </w:t>
            </w:r>
            <w:r w:rsidRPr="00A25088">
              <w:rPr>
                <w:b/>
              </w:rPr>
              <w:lastRenderedPageBreak/>
              <w:t>wymogów</w:t>
            </w:r>
          </w:p>
          <w:p w:rsidR="009D1EE0" w:rsidRPr="00A25088" w:rsidRDefault="009D1EE0" w:rsidP="00B30E59">
            <w:pPr>
              <w:spacing w:before="0" w:after="0"/>
              <w:rPr>
                <w:b/>
              </w:rPr>
            </w:pPr>
            <w:r w:rsidRPr="00A25088">
              <w:rPr>
                <w:b/>
              </w:rPr>
              <w:t>TAK/NIE</w:t>
            </w: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Pr>
                <w:rFonts w:cstheme="minorHAnsi"/>
              </w:rPr>
              <w:t>Przegląd</w:t>
            </w:r>
            <w:r w:rsidRPr="002240BA">
              <w:rPr>
                <w:rFonts w:cstheme="minorHAnsi"/>
              </w:rPr>
              <w:t xml:space="preserve"> wprowadzonych wniosków oraz </w:t>
            </w:r>
            <w:r>
              <w:rPr>
                <w:rFonts w:cstheme="minorHAnsi"/>
              </w:rPr>
              <w:t>wyszukiwanie</w:t>
            </w:r>
            <w:r w:rsidRPr="002240BA">
              <w:rPr>
                <w:rFonts w:cstheme="minorHAnsi"/>
              </w:rPr>
              <w:t xml:space="preserve"> wprowadzon</w:t>
            </w:r>
            <w:r>
              <w:rPr>
                <w:rFonts w:cstheme="minorHAnsi"/>
              </w:rPr>
              <w:t>ych</w:t>
            </w:r>
            <w:r w:rsidRPr="002240BA">
              <w:rPr>
                <w:rFonts w:cstheme="minorHAnsi"/>
              </w:rPr>
              <w:t xml:space="preserve"> wnio</w:t>
            </w:r>
            <w:r>
              <w:rPr>
                <w:rFonts w:cstheme="minorHAnsi"/>
              </w:rPr>
              <w:t>sków</w:t>
            </w:r>
            <w:r w:rsidRPr="002240BA">
              <w:rPr>
                <w:rFonts w:cstheme="minorHAnsi"/>
              </w:rPr>
              <w:t xml:space="preserve"> co najmniej po: nazwie podmiotu składającego wniosek, dacie złożenia wniosku.</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 xml:space="preserve">Użytkownik </w:t>
            </w:r>
            <w:r w:rsidR="00D603B6">
              <w:rPr>
                <w:rFonts w:cstheme="minorHAnsi"/>
              </w:rPr>
              <w:t>rozpoczyna rejestrację nowego wniosku i wybiera wnioskodawcę z bazy interesantów</w:t>
            </w:r>
            <w:r w:rsidRPr="002240BA">
              <w:rPr>
                <w:rFonts w:cstheme="minorHAnsi"/>
              </w:rPr>
              <w:t>.</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 wprowadza dane wniosku z jednoczesnym wpisaniem danych powierzchni gruntów rolnych pochodzących z obszaru podatkowego (automatyczny import danych pochodzących z obszaru podatkowego).</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 wprowadza dane kilku gospodarstw, które są wliczane do rocznego limitu.</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Użytkownikowi automatycznie przedstawiane są informacje o maksymalnej wielkości przysługującego zwrotu dla zadanej powierzchni gruntów.</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 określa czy wliczać wprowadzony wniosek do sprawozdań okresowych lub rocznych (w przypadku gdy wniosek jest złożony przez osobę  przynależącą do innej gminy lub wniosek zostaje złożony poza okresem składania wniosków).</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 zapisując wprowadzony wniosek decyduje czy automatycznie pobrać i przydzielić powierzchnie z danych podatkowych (pochodzących z obszaru naliczeń podatków).</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 wprowadza zbiorczo ilość oleju, która podlega zwrotowi akcyzy.</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 wydaje decyzję potwierdzającą (wariant pierwszy) / odmowną (wariant drugi) i uzupełnia datę wydania decyzji oraz ew. uzasadnienie decyzji / bądź indywidualnej informacji.</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 xml:space="preserve">Użytkownik wprowadza </w:t>
            </w:r>
            <w:r w:rsidR="00D603B6">
              <w:rPr>
                <w:rFonts w:cstheme="minorHAnsi"/>
              </w:rPr>
              <w:t>wysokość</w:t>
            </w:r>
            <w:r w:rsidRPr="002240BA">
              <w:rPr>
                <w:rFonts w:cstheme="minorHAnsi"/>
              </w:rPr>
              <w:t xml:space="preserve"> </w:t>
            </w:r>
            <w:r w:rsidR="00D603B6" w:rsidRPr="002240BA">
              <w:rPr>
                <w:rFonts w:cstheme="minorHAnsi"/>
              </w:rPr>
              <w:t>kwot</w:t>
            </w:r>
            <w:r w:rsidR="00D603B6">
              <w:rPr>
                <w:rFonts w:cstheme="minorHAnsi"/>
              </w:rPr>
              <w:t>y</w:t>
            </w:r>
            <w:r w:rsidR="00D603B6" w:rsidRPr="002240BA">
              <w:rPr>
                <w:rFonts w:cstheme="minorHAnsi"/>
              </w:rPr>
              <w:t xml:space="preserve"> </w:t>
            </w:r>
            <w:r w:rsidRPr="002240BA">
              <w:rPr>
                <w:rFonts w:cstheme="minorHAnsi"/>
              </w:rPr>
              <w:t>wypłaty.</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 generuje automatycznie wykaz podmiotów, którym przysługuje zwrot przelewany na konto bankowe.</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A25088" w:rsidRDefault="009D1EE0" w:rsidP="00B30E59">
            <w:pPr>
              <w:numPr>
                <w:ilvl w:val="0"/>
                <w:numId w:val="17"/>
              </w:numPr>
              <w:spacing w:before="0" w:after="0"/>
              <w:ind w:left="0" w:firstLine="0"/>
            </w:pPr>
          </w:p>
        </w:tc>
        <w:tc>
          <w:tcPr>
            <w:tcW w:w="7101" w:type="dxa"/>
          </w:tcPr>
          <w:p w:rsidR="009D1EE0" w:rsidRPr="002240BA" w:rsidRDefault="009D1EE0" w:rsidP="00B30E59">
            <w:pPr>
              <w:spacing w:before="0" w:after="0"/>
              <w:contextualSpacing/>
              <w:rPr>
                <w:rFonts w:cstheme="minorHAnsi"/>
                <w:color w:val="000000"/>
              </w:rPr>
            </w:pPr>
            <w:r w:rsidRPr="002240BA">
              <w:rPr>
                <w:rFonts w:cstheme="minorHAnsi"/>
              </w:rPr>
              <w:t>Użytkownik wybiera wskazane przez siebie przelewy w celu eksportu do pliku ELIXIR dla przelewów bankowych.</w:t>
            </w:r>
          </w:p>
        </w:tc>
        <w:tc>
          <w:tcPr>
            <w:tcW w:w="1399" w:type="dxa"/>
          </w:tcPr>
          <w:p w:rsidR="009D1EE0" w:rsidRPr="00A25088" w:rsidRDefault="009D1EE0" w:rsidP="00B30E59">
            <w:pPr>
              <w:spacing w:before="0" w:after="0"/>
            </w:pPr>
          </w:p>
        </w:tc>
      </w:tr>
      <w:tr w:rsidR="009D1EE0" w:rsidRPr="00A25088" w:rsidTr="00B30E59">
        <w:tc>
          <w:tcPr>
            <w:tcW w:w="562" w:type="dxa"/>
          </w:tcPr>
          <w:p w:rsidR="009D1EE0" w:rsidRPr="00860A48" w:rsidRDefault="009D1EE0" w:rsidP="00B30E59">
            <w:pPr>
              <w:numPr>
                <w:ilvl w:val="0"/>
                <w:numId w:val="17"/>
              </w:numPr>
              <w:spacing w:before="0" w:after="0"/>
              <w:ind w:left="0" w:firstLine="0"/>
            </w:pPr>
          </w:p>
        </w:tc>
        <w:tc>
          <w:tcPr>
            <w:tcW w:w="7101" w:type="dxa"/>
          </w:tcPr>
          <w:p w:rsidR="009D1EE0" w:rsidRPr="00860A48" w:rsidRDefault="009D1EE0" w:rsidP="00B30E59">
            <w:pPr>
              <w:spacing w:before="0" w:after="0"/>
              <w:contextualSpacing/>
              <w:rPr>
                <w:rFonts w:cstheme="minorHAnsi"/>
                <w:color w:val="000000"/>
              </w:rPr>
            </w:pPr>
            <w:r w:rsidRPr="00860A48">
              <w:rPr>
                <w:rFonts w:cstheme="minorHAnsi"/>
              </w:rPr>
              <w:t>Użytkownik generuje, a następnie drukuje sprawozdanie rzeczowo-finansowe z realizacji wypłat producentom rolnym zwrotu podatku akcyzowego zawartego w cenie oleju napędowego wykorzystywanego do produkcji rolnej.</w:t>
            </w:r>
          </w:p>
        </w:tc>
        <w:tc>
          <w:tcPr>
            <w:tcW w:w="1399" w:type="dxa"/>
          </w:tcPr>
          <w:p w:rsidR="009D1EE0" w:rsidRPr="00860A48" w:rsidRDefault="009D1EE0" w:rsidP="00B30E59">
            <w:pPr>
              <w:spacing w:before="0" w:after="0"/>
            </w:pPr>
          </w:p>
        </w:tc>
      </w:tr>
    </w:tbl>
    <w:p w:rsidR="009D1EE0" w:rsidRDefault="009D1EE0">
      <w:pPr>
        <w:spacing w:before="0" w:after="160"/>
      </w:pPr>
    </w:p>
    <w:sectPr w:rsidR="009D1EE0" w:rsidSect="000A4CB0">
      <w:headerReference w:type="default" r:id="rId7"/>
      <w:footerReference w:type="default" r:id="rId8"/>
      <w:pgSz w:w="11906" w:h="16838"/>
      <w:pgMar w:top="241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077" w:rsidRDefault="001D7077" w:rsidP="00E27F96">
      <w:pPr>
        <w:spacing w:before="0" w:after="0" w:line="240" w:lineRule="auto"/>
      </w:pPr>
      <w:r>
        <w:separator/>
      </w:r>
    </w:p>
  </w:endnote>
  <w:endnote w:type="continuationSeparator" w:id="0">
    <w:p w:rsidR="001D7077" w:rsidRDefault="001D7077" w:rsidP="00E27F9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Ubuntu">
    <w:altName w:val="Arial"/>
    <w:charset w:val="EE"/>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226120869"/>
      <w:docPartObj>
        <w:docPartGallery w:val="Page Numbers (Bottom of Page)"/>
        <w:docPartUnique/>
      </w:docPartObj>
    </w:sdtPr>
    <w:sdtEndPr>
      <w:rPr>
        <w:sz w:val="22"/>
        <w:szCs w:val="22"/>
      </w:rPr>
    </w:sdtEndPr>
    <w:sdtContent>
      <w:p w:rsidR="00B17262" w:rsidRPr="00B17262" w:rsidRDefault="00B17262">
        <w:pPr>
          <w:pStyle w:val="Stopka"/>
          <w:jc w:val="right"/>
          <w:rPr>
            <w:rFonts w:asciiTheme="majorHAnsi" w:eastAsiaTheme="majorEastAsia" w:hAnsiTheme="majorHAnsi" w:cstheme="majorBidi"/>
          </w:rPr>
        </w:pPr>
        <w:r w:rsidRPr="00B17262">
          <w:rPr>
            <w:rFonts w:asciiTheme="majorHAnsi" w:eastAsiaTheme="majorEastAsia" w:hAnsiTheme="majorHAnsi" w:cstheme="majorBidi"/>
          </w:rPr>
          <w:t xml:space="preserve">str. </w:t>
        </w:r>
        <w:r w:rsidR="00B239F4" w:rsidRPr="00B239F4">
          <w:rPr>
            <w:rFonts w:eastAsiaTheme="minorEastAsia" w:cs="Times New Roman"/>
            <w:sz w:val="16"/>
            <w:szCs w:val="16"/>
          </w:rPr>
          <w:fldChar w:fldCharType="begin"/>
        </w:r>
        <w:r w:rsidRPr="00B17262">
          <w:rPr>
            <w:sz w:val="16"/>
            <w:szCs w:val="16"/>
          </w:rPr>
          <w:instrText>PAGE    \* MERGEFORMAT</w:instrText>
        </w:r>
        <w:r w:rsidR="00B239F4" w:rsidRPr="00B239F4">
          <w:rPr>
            <w:rFonts w:eastAsiaTheme="minorEastAsia" w:cs="Times New Roman"/>
            <w:sz w:val="16"/>
            <w:szCs w:val="16"/>
          </w:rPr>
          <w:fldChar w:fldCharType="separate"/>
        </w:r>
        <w:r w:rsidR="004C547C" w:rsidRPr="004C547C">
          <w:rPr>
            <w:rFonts w:asciiTheme="majorHAnsi" w:eastAsiaTheme="majorEastAsia" w:hAnsiTheme="majorHAnsi" w:cstheme="majorBidi"/>
            <w:noProof/>
          </w:rPr>
          <w:t>1</w:t>
        </w:r>
        <w:r w:rsidR="00B239F4" w:rsidRPr="00B17262">
          <w:rPr>
            <w:rFonts w:asciiTheme="majorHAnsi" w:eastAsiaTheme="majorEastAsia" w:hAnsiTheme="majorHAnsi" w:cstheme="majorBidi"/>
          </w:rPr>
          <w:fldChar w:fldCharType="end"/>
        </w:r>
      </w:p>
    </w:sdtContent>
  </w:sdt>
  <w:p w:rsidR="00B17262" w:rsidRDefault="00B172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077" w:rsidRDefault="001D7077" w:rsidP="00E27F96">
      <w:pPr>
        <w:spacing w:before="0" w:after="0" w:line="240" w:lineRule="auto"/>
      </w:pPr>
      <w:r>
        <w:separator/>
      </w:r>
    </w:p>
  </w:footnote>
  <w:footnote w:type="continuationSeparator" w:id="0">
    <w:p w:rsidR="001D7077" w:rsidRDefault="001D7077" w:rsidP="00E27F9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F96" w:rsidRPr="00894FED" w:rsidRDefault="00894FED" w:rsidP="00894FED">
    <w:pPr>
      <w:tabs>
        <w:tab w:val="center" w:pos="7655"/>
        <w:tab w:val="right" w:pos="9072"/>
      </w:tabs>
      <w:jc w:val="center"/>
      <w:rPr>
        <w:rFonts w:cstheme="minorHAnsi"/>
      </w:rPr>
    </w:pPr>
    <w:r w:rsidRPr="00337E80">
      <w:rPr>
        <w:rFonts w:cstheme="minorHAnsi"/>
        <w:noProof/>
        <w:lang w:eastAsia="pl-PL"/>
      </w:rPr>
      <w:drawing>
        <wp:inline distT="0" distB="0" distL="0" distR="0">
          <wp:extent cx="5073640" cy="52895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4897" cy="535341"/>
                  </a:xfrm>
                  <a:prstGeom prst="rect">
                    <a:avLst/>
                  </a:prstGeom>
                  <a:noFill/>
                  <a:ln>
                    <a:noFill/>
                  </a:ln>
                </pic:spPr>
              </pic:pic>
            </a:graphicData>
          </a:graphic>
        </wp:inline>
      </w:drawing>
    </w:r>
    <w:r w:rsidRPr="00337E80">
      <w:rPr>
        <w:rFonts w:eastAsia="Ubuntu" w:cstheme="minorHAnsi"/>
        <w:i/>
        <w:sz w:val="20"/>
        <w:szCs w:val="20"/>
      </w:rPr>
      <w:t>Sfinansowano w ramach reakcji Unii na pandemię COVID-19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34D6"/>
    <w:multiLevelType w:val="hybridMultilevel"/>
    <w:tmpl w:val="68480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7F02EB"/>
    <w:multiLevelType w:val="hybridMultilevel"/>
    <w:tmpl w:val="512676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A27D08"/>
    <w:multiLevelType w:val="multilevel"/>
    <w:tmpl w:val="A86A9D80"/>
    <w:styleLink w:val="WWNum7"/>
    <w:lvl w:ilvl="0">
      <w:start w:val="1"/>
      <w:numFmt w:val="decimal"/>
      <w:lvlText w:val="%1)"/>
      <w:lvlJc w:val="left"/>
      <w:pPr>
        <w:ind w:left="720" w:hanging="360"/>
      </w:p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3">
    <w:nsid w:val="055E1381"/>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390F7D"/>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EE168C"/>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A44C02"/>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ED3ED5"/>
    <w:multiLevelType w:val="hybridMultilevel"/>
    <w:tmpl w:val="73108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545F8"/>
    <w:multiLevelType w:val="hybridMultilevel"/>
    <w:tmpl w:val="F2346EA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8467A26"/>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775909"/>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A57918"/>
    <w:multiLevelType w:val="hybridMultilevel"/>
    <w:tmpl w:val="13B44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3A43FC"/>
    <w:multiLevelType w:val="hybridMultilevel"/>
    <w:tmpl w:val="DF287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036B0B"/>
    <w:multiLevelType w:val="hybridMultilevel"/>
    <w:tmpl w:val="9F785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6F6F94"/>
    <w:multiLevelType w:val="hybridMultilevel"/>
    <w:tmpl w:val="AE4E6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732920"/>
    <w:multiLevelType w:val="hybridMultilevel"/>
    <w:tmpl w:val="EE4A4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747DBF"/>
    <w:multiLevelType w:val="hybridMultilevel"/>
    <w:tmpl w:val="CF2E8C26"/>
    <w:lvl w:ilvl="0" w:tplc="FF5898D6">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E9C63E5"/>
    <w:multiLevelType w:val="hybridMultilevel"/>
    <w:tmpl w:val="D8F85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375CBA"/>
    <w:multiLevelType w:val="hybridMultilevel"/>
    <w:tmpl w:val="3552E378"/>
    <w:lvl w:ilvl="0" w:tplc="341EB38E">
      <w:start w:val="1"/>
      <w:numFmt w:val="decimal"/>
      <w:lvlText w:val="%1."/>
      <w:lvlJc w:val="left"/>
      <w:pPr>
        <w:ind w:left="360" w:hanging="360"/>
      </w:pPr>
      <w:rPr>
        <w:rFonts w:asciiTheme="minorHAnsi" w:hAnsiTheme="minorHAnsi" w:cstheme="minorHAnsi" w:hint="default"/>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303C1EA4"/>
    <w:multiLevelType w:val="hybridMultilevel"/>
    <w:tmpl w:val="47F4E5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34573382"/>
    <w:multiLevelType w:val="multilevel"/>
    <w:tmpl w:val="257424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3D082395"/>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F8009E"/>
    <w:multiLevelType w:val="hybridMultilevel"/>
    <w:tmpl w:val="B3C66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5A0F32"/>
    <w:multiLevelType w:val="hybridMultilevel"/>
    <w:tmpl w:val="620E3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F250D7"/>
    <w:multiLevelType w:val="hybridMultilevel"/>
    <w:tmpl w:val="7C52C486"/>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053033"/>
    <w:multiLevelType w:val="hybridMultilevel"/>
    <w:tmpl w:val="B030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B51267"/>
    <w:multiLevelType w:val="hybridMultilevel"/>
    <w:tmpl w:val="7BA6F6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E694EBD"/>
    <w:multiLevelType w:val="hybridMultilevel"/>
    <w:tmpl w:val="E25A2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DE4566"/>
    <w:multiLevelType w:val="hybridMultilevel"/>
    <w:tmpl w:val="28A8F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074C0F"/>
    <w:multiLevelType w:val="hybridMultilevel"/>
    <w:tmpl w:val="FF5E4D42"/>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CE4AAD"/>
    <w:multiLevelType w:val="hybridMultilevel"/>
    <w:tmpl w:val="08C00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A8A36B7"/>
    <w:multiLevelType w:val="hybridMultilevel"/>
    <w:tmpl w:val="4F1691C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14C7220"/>
    <w:multiLevelType w:val="hybridMultilevel"/>
    <w:tmpl w:val="6D92FE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31A340A"/>
    <w:multiLevelType w:val="hybridMultilevel"/>
    <w:tmpl w:val="591292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8E312B8"/>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2F489F"/>
    <w:multiLevelType w:val="hybridMultilevel"/>
    <w:tmpl w:val="64F0C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9638CA"/>
    <w:multiLevelType w:val="hybridMultilevel"/>
    <w:tmpl w:val="B1904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9F03AF"/>
    <w:multiLevelType w:val="hybridMultilevel"/>
    <w:tmpl w:val="77A0C09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F38784A"/>
    <w:multiLevelType w:val="hybridMultilevel"/>
    <w:tmpl w:val="03505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433027"/>
    <w:multiLevelType w:val="hybridMultilevel"/>
    <w:tmpl w:val="E814E09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FA5466"/>
    <w:multiLevelType w:val="hybridMultilevel"/>
    <w:tmpl w:val="137CDAAC"/>
    <w:lvl w:ilvl="0" w:tplc="877E892E">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380121"/>
    <w:multiLevelType w:val="hybridMultilevel"/>
    <w:tmpl w:val="4A50649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8191FEA"/>
    <w:multiLevelType w:val="hybridMultilevel"/>
    <w:tmpl w:val="2EA831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024355"/>
    <w:multiLevelType w:val="hybridMultilevel"/>
    <w:tmpl w:val="4B9E76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7D4473F0"/>
    <w:multiLevelType w:val="hybridMultilevel"/>
    <w:tmpl w:val="1C3A1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6"/>
  </w:num>
  <w:num w:numId="3">
    <w:abstractNumId w:val="40"/>
  </w:num>
  <w:num w:numId="4">
    <w:abstractNumId w:val="17"/>
  </w:num>
  <w:num w:numId="5">
    <w:abstractNumId w:val="24"/>
  </w:num>
  <w:num w:numId="6">
    <w:abstractNumId w:val="11"/>
  </w:num>
  <w:num w:numId="7">
    <w:abstractNumId w:val="15"/>
  </w:num>
  <w:num w:numId="8">
    <w:abstractNumId w:val="2"/>
  </w:num>
  <w:num w:numId="9">
    <w:abstractNumId w:val="3"/>
  </w:num>
  <w:num w:numId="10">
    <w:abstractNumId w:val="28"/>
  </w:num>
  <w:num w:numId="11">
    <w:abstractNumId w:val="22"/>
  </w:num>
  <w:num w:numId="12">
    <w:abstractNumId w:val="23"/>
  </w:num>
  <w:num w:numId="13">
    <w:abstractNumId w:val="44"/>
  </w:num>
  <w:num w:numId="14">
    <w:abstractNumId w:val="27"/>
  </w:num>
  <w:num w:numId="15">
    <w:abstractNumId w:val="7"/>
  </w:num>
  <w:num w:numId="16">
    <w:abstractNumId w:val="0"/>
  </w:num>
  <w:num w:numId="17">
    <w:abstractNumId w:val="10"/>
  </w:num>
  <w:num w:numId="18">
    <w:abstractNumId w:val="9"/>
  </w:num>
  <w:num w:numId="19">
    <w:abstractNumId w:val="35"/>
  </w:num>
  <w:num w:numId="20">
    <w:abstractNumId w:val="13"/>
  </w:num>
  <w:num w:numId="21">
    <w:abstractNumId w:val="12"/>
  </w:num>
  <w:num w:numId="22">
    <w:abstractNumId w:val="34"/>
  </w:num>
  <w:num w:numId="23">
    <w:abstractNumId w:val="14"/>
  </w:num>
  <w:num w:numId="24">
    <w:abstractNumId w:val="6"/>
  </w:num>
  <w:num w:numId="25">
    <w:abstractNumId w:val="42"/>
  </w:num>
  <w:num w:numId="26">
    <w:abstractNumId w:val="29"/>
  </w:num>
  <w:num w:numId="27">
    <w:abstractNumId w:val="31"/>
  </w:num>
  <w:num w:numId="28">
    <w:abstractNumId w:val="26"/>
  </w:num>
  <w:num w:numId="29">
    <w:abstractNumId w:val="43"/>
  </w:num>
  <w:num w:numId="30">
    <w:abstractNumId w:val="19"/>
  </w:num>
  <w:num w:numId="31">
    <w:abstractNumId w:val="37"/>
  </w:num>
  <w:num w:numId="32">
    <w:abstractNumId w:val="4"/>
  </w:num>
  <w:num w:numId="33">
    <w:abstractNumId w:val="39"/>
  </w:num>
  <w:num w:numId="34">
    <w:abstractNumId w:val="33"/>
  </w:num>
  <w:num w:numId="35">
    <w:abstractNumId w:val="41"/>
  </w:num>
  <w:num w:numId="36">
    <w:abstractNumId w:val="32"/>
  </w:num>
  <w:num w:numId="37">
    <w:abstractNumId w:val="5"/>
  </w:num>
  <w:num w:numId="38">
    <w:abstractNumId w:val="21"/>
  </w:num>
  <w:num w:numId="39">
    <w:abstractNumId w:val="36"/>
  </w:num>
  <w:num w:numId="40">
    <w:abstractNumId w:val="8"/>
  </w:num>
  <w:num w:numId="41">
    <w:abstractNumId w:val="25"/>
  </w:num>
  <w:num w:numId="42">
    <w:abstractNumId w:val="18"/>
  </w:num>
  <w:num w:numId="43">
    <w:abstractNumId w:val="20"/>
    <w:lvlOverride w:ilvl="0">
      <w:startOverride w:val="3"/>
    </w:lvlOverride>
    <w:lvlOverride w:ilvl="1">
      <w:startOverride w:val="2"/>
    </w:lvlOverride>
  </w:num>
  <w:num w:numId="44">
    <w:abstractNumId w:val="1"/>
  </w:num>
  <w:num w:numId="45">
    <w:abstractNumId w:val="38"/>
  </w:num>
  <w:num w:numId="46">
    <w:abstractNumId w:val="3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32169"/>
    <w:rsid w:val="000031FA"/>
    <w:rsid w:val="000033C1"/>
    <w:rsid w:val="000110D6"/>
    <w:rsid w:val="00012C29"/>
    <w:rsid w:val="00033B7A"/>
    <w:rsid w:val="00041571"/>
    <w:rsid w:val="000622AE"/>
    <w:rsid w:val="00063C6B"/>
    <w:rsid w:val="00081DF1"/>
    <w:rsid w:val="000A3702"/>
    <w:rsid w:val="000A4CB0"/>
    <w:rsid w:val="000B7EFD"/>
    <w:rsid w:val="000C6D65"/>
    <w:rsid w:val="000D74F7"/>
    <w:rsid w:val="000E307D"/>
    <w:rsid w:val="000E3642"/>
    <w:rsid w:val="000F5DBD"/>
    <w:rsid w:val="00102205"/>
    <w:rsid w:val="0011751A"/>
    <w:rsid w:val="00124332"/>
    <w:rsid w:val="001275F0"/>
    <w:rsid w:val="00132169"/>
    <w:rsid w:val="00134FFA"/>
    <w:rsid w:val="0015395F"/>
    <w:rsid w:val="001735A1"/>
    <w:rsid w:val="00183411"/>
    <w:rsid w:val="001902BF"/>
    <w:rsid w:val="001955BF"/>
    <w:rsid w:val="001D2548"/>
    <w:rsid w:val="001D39FC"/>
    <w:rsid w:val="001D7077"/>
    <w:rsid w:val="001E3634"/>
    <w:rsid w:val="001E76AF"/>
    <w:rsid w:val="001F382C"/>
    <w:rsid w:val="00202F81"/>
    <w:rsid w:val="00215B5D"/>
    <w:rsid w:val="00221C39"/>
    <w:rsid w:val="00221CC4"/>
    <w:rsid w:val="00223428"/>
    <w:rsid w:val="002273D5"/>
    <w:rsid w:val="00234312"/>
    <w:rsid w:val="00234A5B"/>
    <w:rsid w:val="0023521D"/>
    <w:rsid w:val="0027388A"/>
    <w:rsid w:val="00280FF1"/>
    <w:rsid w:val="00286E87"/>
    <w:rsid w:val="0029324D"/>
    <w:rsid w:val="002B09A9"/>
    <w:rsid w:val="002C565E"/>
    <w:rsid w:val="002E13BC"/>
    <w:rsid w:val="003068B1"/>
    <w:rsid w:val="0031252C"/>
    <w:rsid w:val="00327B79"/>
    <w:rsid w:val="00332333"/>
    <w:rsid w:val="00333F92"/>
    <w:rsid w:val="00342CC1"/>
    <w:rsid w:val="003457E3"/>
    <w:rsid w:val="00353525"/>
    <w:rsid w:val="00360B9B"/>
    <w:rsid w:val="003611BD"/>
    <w:rsid w:val="00361D73"/>
    <w:rsid w:val="00384C3E"/>
    <w:rsid w:val="00392978"/>
    <w:rsid w:val="00392B67"/>
    <w:rsid w:val="003A475C"/>
    <w:rsid w:val="003A75A1"/>
    <w:rsid w:val="003C2A3F"/>
    <w:rsid w:val="003D1625"/>
    <w:rsid w:val="003D668D"/>
    <w:rsid w:val="003E6801"/>
    <w:rsid w:val="003F0DB9"/>
    <w:rsid w:val="003F7D1F"/>
    <w:rsid w:val="004032C6"/>
    <w:rsid w:val="004135B7"/>
    <w:rsid w:val="004174D3"/>
    <w:rsid w:val="004245A1"/>
    <w:rsid w:val="0042548B"/>
    <w:rsid w:val="00441D3D"/>
    <w:rsid w:val="00446659"/>
    <w:rsid w:val="00452F0B"/>
    <w:rsid w:val="004533AB"/>
    <w:rsid w:val="00460293"/>
    <w:rsid w:val="00466C94"/>
    <w:rsid w:val="004867DC"/>
    <w:rsid w:val="00495720"/>
    <w:rsid w:val="004A1166"/>
    <w:rsid w:val="004B2627"/>
    <w:rsid w:val="004C547C"/>
    <w:rsid w:val="004D4CB6"/>
    <w:rsid w:val="004D76AA"/>
    <w:rsid w:val="004F2660"/>
    <w:rsid w:val="004F5E1F"/>
    <w:rsid w:val="00501E01"/>
    <w:rsid w:val="00507DF5"/>
    <w:rsid w:val="00514F17"/>
    <w:rsid w:val="005260AF"/>
    <w:rsid w:val="0054175C"/>
    <w:rsid w:val="00542122"/>
    <w:rsid w:val="00545920"/>
    <w:rsid w:val="00554BB6"/>
    <w:rsid w:val="005556F4"/>
    <w:rsid w:val="00591932"/>
    <w:rsid w:val="00592E71"/>
    <w:rsid w:val="00594273"/>
    <w:rsid w:val="005B1772"/>
    <w:rsid w:val="005B4EB5"/>
    <w:rsid w:val="005C05D5"/>
    <w:rsid w:val="005D56A7"/>
    <w:rsid w:val="005F4998"/>
    <w:rsid w:val="006178D7"/>
    <w:rsid w:val="00623345"/>
    <w:rsid w:val="00623789"/>
    <w:rsid w:val="00632115"/>
    <w:rsid w:val="00632761"/>
    <w:rsid w:val="00640FB3"/>
    <w:rsid w:val="006504FB"/>
    <w:rsid w:val="006600B2"/>
    <w:rsid w:val="00681812"/>
    <w:rsid w:val="00681C8E"/>
    <w:rsid w:val="00686E4B"/>
    <w:rsid w:val="00694068"/>
    <w:rsid w:val="00694631"/>
    <w:rsid w:val="006B1B96"/>
    <w:rsid w:val="006C660A"/>
    <w:rsid w:val="006D36F6"/>
    <w:rsid w:val="006E42DD"/>
    <w:rsid w:val="006E7B55"/>
    <w:rsid w:val="006F3C52"/>
    <w:rsid w:val="00707DA4"/>
    <w:rsid w:val="007222BD"/>
    <w:rsid w:val="007271E2"/>
    <w:rsid w:val="00732739"/>
    <w:rsid w:val="007445B9"/>
    <w:rsid w:val="0075129C"/>
    <w:rsid w:val="00762D30"/>
    <w:rsid w:val="007713B2"/>
    <w:rsid w:val="00771C6A"/>
    <w:rsid w:val="007853BF"/>
    <w:rsid w:val="007B02E6"/>
    <w:rsid w:val="007B22DF"/>
    <w:rsid w:val="007C2DBE"/>
    <w:rsid w:val="007D6E86"/>
    <w:rsid w:val="007E4076"/>
    <w:rsid w:val="00800D01"/>
    <w:rsid w:val="008020D3"/>
    <w:rsid w:val="008020E8"/>
    <w:rsid w:val="00805FB8"/>
    <w:rsid w:val="00811FC6"/>
    <w:rsid w:val="00840172"/>
    <w:rsid w:val="00850B10"/>
    <w:rsid w:val="00860A48"/>
    <w:rsid w:val="008812CA"/>
    <w:rsid w:val="008867DE"/>
    <w:rsid w:val="00894FED"/>
    <w:rsid w:val="00896C68"/>
    <w:rsid w:val="008C3FB2"/>
    <w:rsid w:val="008F0445"/>
    <w:rsid w:val="0091120C"/>
    <w:rsid w:val="00927472"/>
    <w:rsid w:val="00950B63"/>
    <w:rsid w:val="0097527C"/>
    <w:rsid w:val="0098136D"/>
    <w:rsid w:val="00984A33"/>
    <w:rsid w:val="00987507"/>
    <w:rsid w:val="009924CF"/>
    <w:rsid w:val="009A552C"/>
    <w:rsid w:val="009B3929"/>
    <w:rsid w:val="009B4045"/>
    <w:rsid w:val="009C491D"/>
    <w:rsid w:val="009D155E"/>
    <w:rsid w:val="009D1EE0"/>
    <w:rsid w:val="009D2515"/>
    <w:rsid w:val="009D490B"/>
    <w:rsid w:val="009E0C39"/>
    <w:rsid w:val="009F2C47"/>
    <w:rsid w:val="009F2F3C"/>
    <w:rsid w:val="009F57CF"/>
    <w:rsid w:val="00A00BCA"/>
    <w:rsid w:val="00A05616"/>
    <w:rsid w:val="00A253BC"/>
    <w:rsid w:val="00A2719F"/>
    <w:rsid w:val="00A343C7"/>
    <w:rsid w:val="00A41A05"/>
    <w:rsid w:val="00A61A21"/>
    <w:rsid w:val="00A62F26"/>
    <w:rsid w:val="00A63800"/>
    <w:rsid w:val="00A84437"/>
    <w:rsid w:val="00A97DF2"/>
    <w:rsid w:val="00AB20E1"/>
    <w:rsid w:val="00AC0896"/>
    <w:rsid w:val="00AC42D2"/>
    <w:rsid w:val="00AF3D18"/>
    <w:rsid w:val="00B15909"/>
    <w:rsid w:val="00B17262"/>
    <w:rsid w:val="00B229FF"/>
    <w:rsid w:val="00B239F4"/>
    <w:rsid w:val="00B50E97"/>
    <w:rsid w:val="00B65E13"/>
    <w:rsid w:val="00B71ED7"/>
    <w:rsid w:val="00B85ABA"/>
    <w:rsid w:val="00B86EA5"/>
    <w:rsid w:val="00B9180E"/>
    <w:rsid w:val="00B9725A"/>
    <w:rsid w:val="00BA64B1"/>
    <w:rsid w:val="00BB0251"/>
    <w:rsid w:val="00BB1525"/>
    <w:rsid w:val="00BB67CD"/>
    <w:rsid w:val="00BC412F"/>
    <w:rsid w:val="00BC650C"/>
    <w:rsid w:val="00BD0EB7"/>
    <w:rsid w:val="00BD4614"/>
    <w:rsid w:val="00C001D3"/>
    <w:rsid w:val="00C055A9"/>
    <w:rsid w:val="00C126EB"/>
    <w:rsid w:val="00C13D64"/>
    <w:rsid w:val="00C17172"/>
    <w:rsid w:val="00C17CE0"/>
    <w:rsid w:val="00C36A96"/>
    <w:rsid w:val="00C509A5"/>
    <w:rsid w:val="00C54D30"/>
    <w:rsid w:val="00C603A7"/>
    <w:rsid w:val="00C638CB"/>
    <w:rsid w:val="00C82169"/>
    <w:rsid w:val="00C916ED"/>
    <w:rsid w:val="00C935C6"/>
    <w:rsid w:val="00C95BBE"/>
    <w:rsid w:val="00CC48CA"/>
    <w:rsid w:val="00CE03AA"/>
    <w:rsid w:val="00CF7DF6"/>
    <w:rsid w:val="00D249F2"/>
    <w:rsid w:val="00D251BC"/>
    <w:rsid w:val="00D300A9"/>
    <w:rsid w:val="00D408B8"/>
    <w:rsid w:val="00D4227A"/>
    <w:rsid w:val="00D527F7"/>
    <w:rsid w:val="00D533B6"/>
    <w:rsid w:val="00D603B6"/>
    <w:rsid w:val="00D61B64"/>
    <w:rsid w:val="00D6652E"/>
    <w:rsid w:val="00D66D38"/>
    <w:rsid w:val="00D66EA8"/>
    <w:rsid w:val="00D720D8"/>
    <w:rsid w:val="00D73FCE"/>
    <w:rsid w:val="00D74BB9"/>
    <w:rsid w:val="00D86EEF"/>
    <w:rsid w:val="00D9762E"/>
    <w:rsid w:val="00DA4756"/>
    <w:rsid w:val="00DA53B8"/>
    <w:rsid w:val="00DE6370"/>
    <w:rsid w:val="00DE63FB"/>
    <w:rsid w:val="00DE6D32"/>
    <w:rsid w:val="00E07A8C"/>
    <w:rsid w:val="00E16E7F"/>
    <w:rsid w:val="00E2409F"/>
    <w:rsid w:val="00E2686C"/>
    <w:rsid w:val="00E27F96"/>
    <w:rsid w:val="00E318BC"/>
    <w:rsid w:val="00E36F89"/>
    <w:rsid w:val="00E43C6D"/>
    <w:rsid w:val="00E534CE"/>
    <w:rsid w:val="00E611F3"/>
    <w:rsid w:val="00E614F9"/>
    <w:rsid w:val="00E65AF7"/>
    <w:rsid w:val="00E704C1"/>
    <w:rsid w:val="00E73C46"/>
    <w:rsid w:val="00E83244"/>
    <w:rsid w:val="00E85047"/>
    <w:rsid w:val="00E85678"/>
    <w:rsid w:val="00E858E5"/>
    <w:rsid w:val="00E90472"/>
    <w:rsid w:val="00EA1EBB"/>
    <w:rsid w:val="00EC58A0"/>
    <w:rsid w:val="00ED793E"/>
    <w:rsid w:val="00EE24DA"/>
    <w:rsid w:val="00EE5D8E"/>
    <w:rsid w:val="00F2141D"/>
    <w:rsid w:val="00F31F2E"/>
    <w:rsid w:val="00F42C46"/>
    <w:rsid w:val="00F5422D"/>
    <w:rsid w:val="00F632CF"/>
    <w:rsid w:val="00F72735"/>
    <w:rsid w:val="00F73FE8"/>
    <w:rsid w:val="00F9148F"/>
    <w:rsid w:val="00FA324E"/>
    <w:rsid w:val="00FC33E2"/>
    <w:rsid w:val="00FD0ADD"/>
    <w:rsid w:val="00FD0C34"/>
    <w:rsid w:val="00FD1396"/>
    <w:rsid w:val="00FF06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25A"/>
    <w:pPr>
      <w:spacing w:before="120" w:after="120"/>
    </w:pPr>
  </w:style>
  <w:style w:type="paragraph" w:styleId="Nagwek1">
    <w:name w:val="heading 1"/>
    <w:basedOn w:val="Normalny"/>
    <w:next w:val="Normalny"/>
    <w:link w:val="Nagwek1Znak"/>
    <w:uiPriority w:val="9"/>
    <w:qFormat/>
    <w:rsid w:val="00DE63FB"/>
    <w:pPr>
      <w:keepNext/>
      <w:keepLines/>
      <w:spacing w:before="160" w:after="160"/>
      <w:outlineLvl w:val="0"/>
    </w:pPr>
    <w:rPr>
      <w:rFonts w:asciiTheme="majorHAnsi" w:eastAsiaTheme="majorEastAsia" w:hAnsiTheme="majorHAnsi" w:cstheme="majorBidi"/>
      <w:color w:val="2F5496" w:themeColor="accent1" w:themeShade="BF"/>
      <w:sz w:val="26"/>
      <w:szCs w:val="32"/>
    </w:rPr>
  </w:style>
  <w:style w:type="paragraph" w:styleId="Nagwek2">
    <w:name w:val="heading 2"/>
    <w:basedOn w:val="Normalny"/>
    <w:next w:val="Normalny"/>
    <w:link w:val="Nagwek2Znak"/>
    <w:uiPriority w:val="9"/>
    <w:unhideWhenUsed/>
    <w:qFormat/>
    <w:rsid w:val="00EE24DA"/>
    <w:pPr>
      <w:keepNext/>
      <w:keepLines/>
      <w:spacing w:before="40" w:after="40"/>
      <w:outlineLvl w:val="1"/>
    </w:pPr>
    <w:rPr>
      <w:rFonts w:asciiTheme="majorHAnsi" w:eastAsiaTheme="majorEastAsia" w:hAnsiTheme="majorHAnsi" w:cstheme="majorBidi"/>
      <w:color w:val="2F5496" w:themeColor="accent1" w:themeShade="BF"/>
      <w:sz w:val="24"/>
      <w:szCs w:val="26"/>
    </w:rPr>
  </w:style>
  <w:style w:type="paragraph" w:styleId="Nagwek3">
    <w:name w:val="heading 3"/>
    <w:basedOn w:val="Normalny"/>
    <w:next w:val="Normalny"/>
    <w:link w:val="Nagwek3Znak"/>
    <w:uiPriority w:val="9"/>
    <w:unhideWhenUsed/>
    <w:qFormat/>
    <w:rsid w:val="00992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9924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B02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B02E6"/>
    <w:rPr>
      <w:rFonts w:asciiTheme="majorHAnsi" w:eastAsiaTheme="majorEastAsia" w:hAnsiTheme="majorHAnsi" w:cstheme="majorBidi"/>
      <w:spacing w:val="-10"/>
      <w:kern w:val="28"/>
      <w:sz w:val="56"/>
      <w:szCs w:val="56"/>
    </w:rPr>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234A5B"/>
    <w:pPr>
      <w:ind w:left="720"/>
      <w:contextualSpacing/>
    </w:pPr>
  </w:style>
  <w:style w:type="character" w:customStyle="1" w:styleId="Nagwek1Znak">
    <w:name w:val="Nagłówek 1 Znak"/>
    <w:basedOn w:val="Domylnaczcionkaakapitu"/>
    <w:link w:val="Nagwek1"/>
    <w:uiPriority w:val="9"/>
    <w:rsid w:val="00DE63FB"/>
    <w:rPr>
      <w:rFonts w:asciiTheme="majorHAnsi" w:eastAsiaTheme="majorEastAsia" w:hAnsiTheme="majorHAnsi" w:cstheme="majorBidi"/>
      <w:color w:val="2F5496" w:themeColor="accent1" w:themeShade="BF"/>
      <w:sz w:val="26"/>
      <w:szCs w:val="32"/>
    </w:rPr>
  </w:style>
  <w:style w:type="table" w:styleId="Tabela-Siatka">
    <w:name w:val="Table Grid"/>
    <w:basedOn w:val="Standardowy"/>
    <w:uiPriority w:val="39"/>
    <w:rsid w:val="00CC4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CC48CA"/>
  </w:style>
  <w:style w:type="character" w:styleId="Wyrnienieintensywne">
    <w:name w:val="Intense Emphasis"/>
    <w:basedOn w:val="Domylnaczcionkaakapitu"/>
    <w:uiPriority w:val="21"/>
    <w:qFormat/>
    <w:rsid w:val="00B9725A"/>
    <w:rPr>
      <w:i/>
      <w:iCs/>
      <w:color w:val="4472C4" w:themeColor="accent1"/>
    </w:rPr>
  </w:style>
  <w:style w:type="character" w:styleId="Odwoaniedokomentarza">
    <w:name w:val="annotation reference"/>
    <w:basedOn w:val="Domylnaczcionkaakapitu"/>
    <w:uiPriority w:val="99"/>
    <w:unhideWhenUsed/>
    <w:rsid w:val="00B9725A"/>
    <w:rPr>
      <w:sz w:val="16"/>
      <w:szCs w:val="16"/>
    </w:rPr>
  </w:style>
  <w:style w:type="paragraph" w:styleId="Tekstkomentarza">
    <w:name w:val="annotation text"/>
    <w:basedOn w:val="Normalny"/>
    <w:link w:val="TekstkomentarzaZnak"/>
    <w:uiPriority w:val="99"/>
    <w:unhideWhenUsed/>
    <w:rsid w:val="00B9725A"/>
    <w:pPr>
      <w:spacing w:line="240" w:lineRule="auto"/>
    </w:pPr>
    <w:rPr>
      <w:sz w:val="20"/>
      <w:szCs w:val="20"/>
    </w:rPr>
  </w:style>
  <w:style w:type="character" w:customStyle="1" w:styleId="TekstkomentarzaZnak">
    <w:name w:val="Tekst komentarza Znak"/>
    <w:basedOn w:val="Domylnaczcionkaakapitu"/>
    <w:link w:val="Tekstkomentarza"/>
    <w:uiPriority w:val="99"/>
    <w:rsid w:val="00B9725A"/>
    <w:rPr>
      <w:sz w:val="20"/>
      <w:szCs w:val="20"/>
    </w:rPr>
  </w:style>
  <w:style w:type="paragraph" w:styleId="Tematkomentarza">
    <w:name w:val="annotation subject"/>
    <w:basedOn w:val="Tekstkomentarza"/>
    <w:next w:val="Tekstkomentarza"/>
    <w:link w:val="TematkomentarzaZnak"/>
    <w:uiPriority w:val="99"/>
    <w:semiHidden/>
    <w:unhideWhenUsed/>
    <w:rsid w:val="00B9725A"/>
    <w:rPr>
      <w:b/>
      <w:bCs/>
    </w:rPr>
  </w:style>
  <w:style w:type="character" w:customStyle="1" w:styleId="TematkomentarzaZnak">
    <w:name w:val="Temat komentarza Znak"/>
    <w:basedOn w:val="TekstkomentarzaZnak"/>
    <w:link w:val="Tematkomentarza"/>
    <w:uiPriority w:val="99"/>
    <w:semiHidden/>
    <w:rsid w:val="00B9725A"/>
    <w:rPr>
      <w:b/>
      <w:bCs/>
      <w:sz w:val="20"/>
      <w:szCs w:val="20"/>
    </w:rPr>
  </w:style>
  <w:style w:type="paragraph" w:styleId="Tekstdymka">
    <w:name w:val="Balloon Text"/>
    <w:basedOn w:val="Normalny"/>
    <w:link w:val="TekstdymkaZnak"/>
    <w:uiPriority w:val="99"/>
    <w:semiHidden/>
    <w:unhideWhenUsed/>
    <w:rsid w:val="00B972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25A"/>
    <w:rPr>
      <w:rFonts w:ascii="Segoe UI" w:hAnsi="Segoe UI" w:cs="Segoe UI"/>
      <w:sz w:val="18"/>
      <w:szCs w:val="18"/>
    </w:rPr>
  </w:style>
  <w:style w:type="paragraph" w:styleId="Nagwek">
    <w:name w:val="header"/>
    <w:basedOn w:val="Normalny"/>
    <w:link w:val="NagwekZnak"/>
    <w:uiPriority w:val="99"/>
    <w:unhideWhenUsed/>
    <w:rsid w:val="00E27F96"/>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E27F96"/>
  </w:style>
  <w:style w:type="paragraph" w:styleId="Stopka">
    <w:name w:val="footer"/>
    <w:basedOn w:val="Normalny"/>
    <w:link w:val="StopkaZnak"/>
    <w:uiPriority w:val="99"/>
    <w:unhideWhenUsed/>
    <w:rsid w:val="00E27F96"/>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E27F96"/>
  </w:style>
  <w:style w:type="character" w:customStyle="1" w:styleId="Nagwek2Znak">
    <w:name w:val="Nagłówek 2 Znak"/>
    <w:basedOn w:val="Domylnaczcionkaakapitu"/>
    <w:link w:val="Nagwek2"/>
    <w:uiPriority w:val="9"/>
    <w:rsid w:val="00EE24DA"/>
    <w:rPr>
      <w:rFonts w:asciiTheme="majorHAnsi" w:eastAsiaTheme="majorEastAsia" w:hAnsiTheme="majorHAnsi" w:cstheme="majorBidi"/>
      <w:color w:val="2F5496" w:themeColor="accent1" w:themeShade="BF"/>
      <w:sz w:val="24"/>
      <w:szCs w:val="26"/>
    </w:rPr>
  </w:style>
  <w:style w:type="paragraph" w:customStyle="1" w:styleId="Standard">
    <w:name w:val="Standard"/>
    <w:rsid w:val="00EE24D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9924C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9924CF"/>
    <w:rPr>
      <w:rFonts w:asciiTheme="majorHAnsi" w:eastAsiaTheme="majorEastAsia" w:hAnsiTheme="majorHAnsi" w:cstheme="majorBidi"/>
      <w:i/>
      <w:iCs/>
      <w:color w:val="2F5496" w:themeColor="accent1" w:themeShade="BF"/>
    </w:rPr>
  </w:style>
  <w:style w:type="character" w:styleId="Wyrnieniedelikatne">
    <w:name w:val="Subtle Emphasis"/>
    <w:basedOn w:val="Domylnaczcionkaakapitu"/>
    <w:uiPriority w:val="19"/>
    <w:qFormat/>
    <w:rsid w:val="009924CF"/>
    <w:rPr>
      <w:i/>
      <w:iCs/>
      <w:color w:val="595959" w:themeColor="text1" w:themeTint="A6"/>
    </w:rPr>
  </w:style>
  <w:style w:type="paragraph" w:customStyle="1" w:styleId="Default">
    <w:name w:val="Default"/>
    <w:rsid w:val="007C2DBE"/>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C2DBE"/>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2DBE"/>
    <w:rPr>
      <w:sz w:val="20"/>
      <w:szCs w:val="20"/>
    </w:rPr>
  </w:style>
  <w:style w:type="character" w:styleId="Odwoanieprzypisukocowego">
    <w:name w:val="endnote reference"/>
    <w:basedOn w:val="Domylnaczcionkaakapitu"/>
    <w:uiPriority w:val="99"/>
    <w:semiHidden/>
    <w:unhideWhenUsed/>
    <w:rsid w:val="007C2DBE"/>
    <w:rPr>
      <w:vertAlign w:val="superscript"/>
    </w:rPr>
  </w:style>
  <w:style w:type="paragraph" w:customStyle="1" w:styleId="ListParagraphNumerowanieAkapitzlistBS">
    <w:name w:val="List Paragraph;Numerowanie;Akapit z listą BS"/>
    <w:basedOn w:val="Standard"/>
    <w:rsid w:val="007C2DBE"/>
    <w:pPr>
      <w:widowControl/>
      <w:spacing w:after="200" w:line="276" w:lineRule="auto"/>
      <w:ind w:left="720"/>
    </w:pPr>
    <w:rPr>
      <w:rFonts w:ascii="Calibri" w:eastAsia="Calibri" w:hAnsi="Calibri" w:cs="Times New Roman"/>
      <w:sz w:val="22"/>
      <w:szCs w:val="22"/>
      <w:lang w:eastAsia="en-US" w:bidi="ar-SA"/>
    </w:rPr>
  </w:style>
  <w:style w:type="numbering" w:customStyle="1" w:styleId="WWNum7">
    <w:name w:val="WWNum7"/>
    <w:basedOn w:val="Bezlisty"/>
    <w:rsid w:val="007C2DBE"/>
    <w:pPr>
      <w:numPr>
        <w:numId w:val="8"/>
      </w:numPr>
    </w:pPr>
  </w:style>
  <w:style w:type="paragraph" w:styleId="Podtytu">
    <w:name w:val="Subtitle"/>
    <w:basedOn w:val="Normalny"/>
    <w:next w:val="Normalny"/>
    <w:link w:val="PodtytuZnak"/>
    <w:uiPriority w:val="11"/>
    <w:qFormat/>
    <w:rsid w:val="00800D01"/>
    <w:pPr>
      <w:numPr>
        <w:ilvl w:val="1"/>
      </w:numPr>
      <w:spacing w:before="0"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00D01"/>
    <w:rPr>
      <w:rFonts w:eastAsiaTheme="minorEastAsia"/>
      <w:color w:val="5A5A5A" w:themeColor="text1" w:themeTint="A5"/>
      <w:spacing w:val="15"/>
    </w:rPr>
  </w:style>
  <w:style w:type="paragraph" w:styleId="Poprawka">
    <w:name w:val="Revision"/>
    <w:hidden/>
    <w:uiPriority w:val="99"/>
    <w:semiHidden/>
    <w:rsid w:val="00E858E5"/>
    <w:pPr>
      <w:spacing w:after="0" w:line="240" w:lineRule="auto"/>
    </w:pPr>
  </w:style>
</w:styles>
</file>

<file path=word/webSettings.xml><?xml version="1.0" encoding="utf-8"?>
<w:webSettings xmlns:r="http://schemas.openxmlformats.org/officeDocument/2006/relationships" xmlns:w="http://schemas.openxmlformats.org/wordprocessingml/2006/main">
  <w:divs>
    <w:div w:id="712844809">
      <w:bodyDiv w:val="1"/>
      <w:marLeft w:val="0"/>
      <w:marRight w:val="0"/>
      <w:marTop w:val="0"/>
      <w:marBottom w:val="0"/>
      <w:divBdr>
        <w:top w:val="none" w:sz="0" w:space="0" w:color="auto"/>
        <w:left w:val="none" w:sz="0" w:space="0" w:color="auto"/>
        <w:bottom w:val="none" w:sz="0" w:space="0" w:color="auto"/>
        <w:right w:val="none" w:sz="0" w:space="0" w:color="auto"/>
      </w:divBdr>
    </w:div>
    <w:div w:id="12691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3479</Words>
  <Characters>20880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abartoszczyk</cp:lastModifiedBy>
  <cp:revision>3</cp:revision>
  <cp:lastPrinted>2020-10-24T14:54:00Z</cp:lastPrinted>
  <dcterms:created xsi:type="dcterms:W3CDTF">2022-10-12T09:40:00Z</dcterms:created>
  <dcterms:modified xsi:type="dcterms:W3CDTF">2022-10-19T10:42:00Z</dcterms:modified>
</cp:coreProperties>
</file>